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A58FC" w:rsidRPr="00AA58FC" w:rsidRDefault="00AA58FC" w:rsidP="00AA58FC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AA58FC">
        <w:rPr>
          <w:rFonts w:ascii="Times New Roman" w:hAnsi="Times New Roman" w:cs="Times New Roman"/>
          <w:b/>
          <w:sz w:val="48"/>
          <w:szCs w:val="48"/>
        </w:rPr>
        <w:t>О</w:t>
      </w:r>
      <w:r w:rsidRPr="00AA58FC">
        <w:rPr>
          <w:rFonts w:ascii="Times New Roman" w:hAnsi="Times New Roman" w:cs="Times New Roman"/>
          <w:b/>
          <w:sz w:val="48"/>
          <w:szCs w:val="48"/>
        </w:rPr>
        <w:t xml:space="preserve">тчет </w:t>
      </w:r>
      <w:r w:rsidRPr="00AA58FC">
        <w:rPr>
          <w:rFonts w:ascii="Times New Roman" w:hAnsi="Times New Roman" w:cs="Times New Roman"/>
          <w:b/>
          <w:bCs/>
          <w:sz w:val="48"/>
          <w:szCs w:val="48"/>
        </w:rPr>
        <w:t>о работе комиссии «По работе с руководством Российской академии наук, Федеральным Собранием, Правительством Российской Федерации и общественными организациями» Центрального совета Профсоюза работников Российской академии наук в 2024 г.</w:t>
      </w:r>
    </w:p>
    <w:p w:rsidR="00AA58FC" w:rsidRDefault="00AA58FC" w:rsidP="00AA58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2024 г комиссия по работе с руководством РАН, Федеральным собранием РФ, Правительством РФ и общественными организациями (далее Комиссия) работала по всем традиционным направлениям, обозначенным в её названии и со всеми традиционными партнерами. Активность комиссии следует оценивать как высокую, эффективность – как недостаточную. Комиссия не является самостоятельной структурой, а лишь призвана своевременно реагировать на те или иные вызовы, требующие взаимодействия с внешними структурами и готовить предложения для руководства профсоюза. Невысокая эффективность может проистекать в том числе от низкого качества работы по подготовке материалов.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Работа комиссии в новом составе (20 чел.) строилась в дистанционном режиме. Быстрое реагирование обеспечивалось специальным </w:t>
      </w:r>
      <w:proofErr w:type="spellStart"/>
      <w:r>
        <w:rPr>
          <w:rFonts w:ascii="Times New Roman" w:hAnsi="Times New Roman" w:cs="Times New Roman"/>
        </w:rPr>
        <w:t>телеграм</w:t>
      </w:r>
      <w:proofErr w:type="spellEnd"/>
      <w:r>
        <w:rPr>
          <w:rFonts w:ascii="Times New Roman" w:hAnsi="Times New Roman" w:cs="Times New Roman"/>
        </w:rPr>
        <w:t xml:space="preserve"> чатом, в котором участвует большая половина членов комиссии. Однако, жанр вполне пригоден для быстрого обмена мнениями и фиксации наличия проблемы, но не годится для работы над проектами документов, что является основной задачей работы комиссии.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 формирования набора мнений по той или иной инициативной теме, или при получении конкретного задания на проработку комиссии от руководства профсоюза работа переводится в режим переписки по электронной почте. После чего предложения передаются руководству профсоюза для реализации необходимых действий и публикации на информационных ресурсах профсоюза.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Информационная комиссия в полной мере освещала все инициативы и все результаты работы Комиссии, в связи с чем позволю себе не цитировать материалы еженедельных дайджестов информационной комиссии профсоюза. Интеграция работы двух комиссий здесь полная, председатель </w:t>
      </w:r>
      <w:proofErr w:type="spellStart"/>
      <w:proofErr w:type="gramStart"/>
      <w:r>
        <w:rPr>
          <w:rFonts w:ascii="Times New Roman" w:hAnsi="Times New Roman" w:cs="Times New Roman"/>
        </w:rPr>
        <w:t>инфо.комиссии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Н.В.Волчкова</w:t>
      </w:r>
      <w:proofErr w:type="spellEnd"/>
      <w:r>
        <w:rPr>
          <w:rFonts w:ascii="Times New Roman" w:hAnsi="Times New Roman" w:cs="Times New Roman"/>
        </w:rPr>
        <w:t xml:space="preserve"> является членом данной комиссии и зачатую в силу профессиональных компетенций, выступает финальным выпускающим редактором материалов Комиссии 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Главным социальным партнером профсоюза по Закону является Минобрнауки. Здесь есть набор инструментов, комиссий и рабочих групп, в рамках которых осуществляется взаимодействие. В целом оно вполне позитивно и активно. Однако основная проблема на конец года - истечение срока действия продленного до конца 2024 года Межотраслевого соглашения - основного документа, регламентирующего взаимоотношения Профсоюза и Министерства. Здесь работа в основном осуществлялась в рамках специальной комиссии и не являлась сферой деятельности данной комиссии.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менее важны традиционные отношения с РАН, до середины 2025 г здесь действует Соглашение, подписанное еще </w:t>
      </w:r>
      <w:proofErr w:type="spellStart"/>
      <w:r>
        <w:rPr>
          <w:rFonts w:ascii="Times New Roman" w:hAnsi="Times New Roman" w:cs="Times New Roman"/>
        </w:rPr>
        <w:t>А.М</w:t>
      </w:r>
      <w:proofErr w:type="spellEnd"/>
      <w:r>
        <w:rPr>
          <w:rFonts w:ascii="Times New Roman" w:hAnsi="Times New Roman" w:cs="Times New Roman"/>
        </w:rPr>
        <w:t xml:space="preserve">. Сергеевым и </w:t>
      </w:r>
      <w:proofErr w:type="spellStart"/>
      <w:r>
        <w:rPr>
          <w:rFonts w:ascii="Times New Roman" w:hAnsi="Times New Roman" w:cs="Times New Roman"/>
        </w:rPr>
        <w:t>В.П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Калинушкиным</w:t>
      </w:r>
      <w:proofErr w:type="spellEnd"/>
      <w:r>
        <w:rPr>
          <w:rFonts w:ascii="Times New Roman" w:hAnsi="Times New Roman" w:cs="Times New Roman"/>
        </w:rPr>
        <w:t>. В 2024 г шла работа по подготовке нового соглашения. Строго его проект был подготовлен еще в 2023 г, но он не устроил сторону РАН. Академией были обозначены предварительные условия и его подписание, не будучи горящим и срочным, было отложено. Предварительные условия состояли в легитимизации первичной профорганизации в самом Президиуме, принятие колдоговора в Президиуме, а также подготовка проекта Отраслевого соглашения по организациям, подведомственным РАН. Условия были выполнены, и в декабре 2024 г по указанию СМ. Алдошина сторона РАН возобновила работу над проектом. Свои обязательства РАН выполняла полностью, и работа велась в конструктивном русле.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Помимо Минобрнауки профсоюз взаимодействовал и с другими властными структурами, готовились и отправлялись обращения в обе палаты Федерального собрания, в аппарат Правительства и Президента. Нельзя сказать, что взаимодействие было полноценным, однако результаты достигнуты. 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Работа с профсоюзами и общественными объединениями в 2024 г также велась. Совместно с РКК и депутатами пытались отстаивать права наукоградов и т.п. Вообще говоря, на будущее следует пересмотреть номенклатуру партнеров и возможно пересмотреть приоритеты, в т.ч. в части ФНПР, где избран новый лидер, а также близкими профсоюзами (</w:t>
      </w:r>
      <w:proofErr w:type="spellStart"/>
      <w:r>
        <w:rPr>
          <w:rFonts w:ascii="Times New Roman" w:hAnsi="Times New Roman" w:cs="Times New Roman"/>
        </w:rPr>
        <w:t>Профатом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Нар.образования</w:t>
      </w:r>
      <w:proofErr w:type="spellEnd"/>
      <w:r>
        <w:rPr>
          <w:rFonts w:ascii="Times New Roman" w:hAnsi="Times New Roman" w:cs="Times New Roman"/>
        </w:rPr>
        <w:t>, Медиков и Агропром комплекса).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Два последних в 2024 году продемонстрировали крайне недостойные образцы поведения недопустимые для партнеров по Межотраслевому соглашению. Видимо впредь следую ограничить отношения с ними.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Особой точкой взаимоотношений с общественными организациями в 2024 г стали СМУ.</w:t>
      </w:r>
    </w:p>
    <w:p w:rsidR="00AA58FC" w:rsidRDefault="00AA58FC" w:rsidP="00AA58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целом вектор деятельности комиссии в 2024 г сохранен и есть все основания полагать, что смены политики в 2025 г не предполагается, хотя актуальные темы для взаимодействия и новые, как правило неожиданные, вызовы будут неизменно появляться и быстрое реагирование на них остается одной из главных задач.</w:t>
      </w:r>
    </w:p>
    <w:p w:rsidR="00AA58FC" w:rsidRDefault="00AA58FC" w:rsidP="00AA58FC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AA58FC" w:rsidRDefault="00AA58FC" w:rsidP="00AA58FC"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Председатель комиссии «По работе с руководством Российской академии наук, Федеральным Собранием, Правительством Российской Федерации и общественными организациями» ЦС Профсоюза работников РАН </w:t>
      </w:r>
      <w:r>
        <w:rPr>
          <w:rFonts w:ascii="Times New Roman" w:hAnsi="Times New Roman" w:cs="Times New Roman"/>
          <w:i/>
          <w:iCs/>
        </w:rPr>
        <w:br/>
      </w:r>
      <w:proofErr w:type="spellStart"/>
      <w:r>
        <w:rPr>
          <w:rFonts w:ascii="Times New Roman" w:hAnsi="Times New Roman" w:cs="Times New Roman"/>
          <w:i/>
          <w:iCs/>
        </w:rPr>
        <w:t>В.Ф</w:t>
      </w:r>
      <w:proofErr w:type="spellEnd"/>
      <w:r>
        <w:rPr>
          <w:rFonts w:ascii="Times New Roman" w:hAnsi="Times New Roman" w:cs="Times New Roman"/>
          <w:i/>
          <w:iCs/>
        </w:rPr>
        <w:t>. Вдовин</w:t>
      </w:r>
    </w:p>
    <w:p w:rsidR="00981D1A" w:rsidRDefault="00981D1A"/>
    <w:sectPr w:rsidR="00981D1A" w:rsidSect="00CF5AA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FC"/>
    <w:rsid w:val="00981D1A"/>
    <w:rsid w:val="00AA58FC"/>
    <w:rsid w:val="00CF5AA1"/>
    <w:rsid w:val="00F1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DABF"/>
  <w15:chartTrackingRefBased/>
  <w15:docId w15:val="{3671E945-90BD-4142-8E92-5CE809C8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8FC"/>
    <w:pPr>
      <w:spacing w:before="100" w:beforeAutospacing="1" w:after="100" w:afterAutospacing="1" w:line="273" w:lineRule="auto"/>
    </w:pPr>
    <w:rPr>
      <w:rFonts w:ascii="Calibri" w:eastAsia="Times New Roman" w:hAnsi="Calibri" w:cs="Calibri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1</cp:revision>
  <dcterms:created xsi:type="dcterms:W3CDTF">2025-05-19T14:07:00Z</dcterms:created>
  <dcterms:modified xsi:type="dcterms:W3CDTF">2025-05-19T14:08:00Z</dcterms:modified>
</cp:coreProperties>
</file>