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РЕЗОЛЮЦИЯ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Вторая Сибирская научно-практическая молодежная конференция (далее Конференция), заслушав и обсудив доклады на пленарном заседании 04.08.2025 г., секционных заседаниях 05.08-06.08.2025 г., а также по итогам дискуссии на круглом столе по актуальным проблемам Профсоюза работников РАН (далее - Профсоюза) и его молодежной политики на круглом столе 04.08.2025 г. с участием председателя Профсоюза Г.В. Чучевой, а также предложений, поступивших от участников конференции, постановила: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351" w:val="left"/>
        </w:tabs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Считать неприемлемым низкий текущий уровень бюджетных расходов на фундаментальные исследования и разработки в российской Федерации. В связи с этим необходимо продолжить работу Профсоюза по увеличению бюджетного финансирования фундаментальной науки в качестве приоритетного направления деятельности с тем, чтобы: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95" w:val="left"/>
        </w:tabs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способствовать увеличению бюджетных субсидий на выполнение государственного задания и доведению объема затрат на фундаментальную науку до уровня не менее чем 0,4% ВВП с учетом рекомендации общего собрания членов РАН от 28.05.2025.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95" w:val="left"/>
        </w:tabs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ускорить разработку и введение новой системы оплаты труда для работников организаций, подведомственных Минобрнауки РФ, с учетом предложений Профсоюза работников РАН.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351" w:val="left"/>
        </w:tabs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Констатировать, что в последнее время нарастают сложности в приобретении необходимого уникального научного оборудования, реактивов и материалов, исследователям приходится пользоваться поставками по параллельному импорту или приобретать менее качественные аналоги. Постановление Правительства РФ от 23 декабря 2024 г. № 1875 предписывает по отдельным категориям товаров закупку только у российских производителей. Вместе с тем для ряда позиций, указанных в данном Постановлении, просто не существует аналогов оборудования российского производства или их заявленные характеристики не соответствуют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требованиям конкретной лаборатории и научным задачам. В связи с этим необходимо: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870" w:val="left"/>
        </w:tabs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проработать вопрос о смягчении законодательства о закупках уникального научного оборудования и материалов;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870" w:val="left"/>
        </w:tabs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допустить все НИИ, подведомственные Минобрнауки РФ, к финансированию программы по переоснащению научным оборудованием;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72" w:val="left"/>
        </w:tabs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кратно увеличить затраты на финансирование данной программы.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350" w:val="left"/>
        </w:tabs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Добиваться увеличения финансирования средств, направляемых на компенсацию командировочных расходов, за счет субсидий на выполнение государственного задания. Для этого необходимо внести изменения в соответствующее постановление Правительства РФ с целью увеличения суммы на оплату суточных работникам, находящимся в командировке в пределах РФ, за счет бюджетных средств со 100 до 700 рублей в сутки, а также отменить существующее ограничение компенсируемых расходов по найму жилого помещения в 550 рублей в сутки.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350" w:val="left"/>
        </w:tabs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 учетом продолжающегося десятилетия науки и технологий более активно использовать систему Советов молодых ученых (Советов научной молодежи) и специалистов для популяризации науки, работы со школьниками и студентами, и способствовать росту финансирования данного направления работы для счет бюджетных средств.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350" w:val="left"/>
        </w:tabs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связи с тем, что в последние годы выборными руководящими органами Профсоюза регулярно принимаются решения, нарушающие устав Профсоюза и постановления Съезда Профсоюза, следствием которых является распространение правового нигилизма, разрушение сложившейся организационной структуры Профсоюза и снижение авторитета выборных органов Профсоюза в первичных организациях, необходимы кардинальные изменения в кадровой и молодежной политике Профсоюза, способствующие ротации и омоложению руководящих выборных органов и привлечению активной молодежи в Профсоюз. Для практического осуществления данных изменений предлагается:</w:t>
      </w:r>
      <w:r>
        <w:br w:type="page"/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813" w:val="left"/>
        </w:tabs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поддержать предложение председателя Профсоюза Г.В. Чучевой о введении в качестве уставной нормы возрастного ценза при избрании на должности единоличных исполнительных органов в Профсоюзе с предельным возрастом на дату выборов не более 70 лет, при этом считать предельным допустимым возрастом 75 лет;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813" w:val="left"/>
        </w:tabs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 целью омоложения и обновления состава Центрального Совета Профсоюза (далее ЦС) установить квоту представительства для молодых членов профсоюза (по решению Всемирной организации здравоохранения, таковыми считаются лица в возрасте до 45 лет) не менее 40% от общего числа членов ЦС;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813" w:val="left"/>
        </w:tabs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предложить комиссии ЦС Профсоюза по работе с молодежью разработать и представить на рассмотрение ЦС "Программу привлечения молодежи в ППО".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351" w:val="left"/>
        </w:tabs>
        <w:bidi w:val="0"/>
        <w:spacing w:before="0" w:after="0"/>
        <w:ind w:left="0" w:right="0" w:firstLine="5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Обратиться к Профсоюзу с просьбой направить предложения и рекомендации, содержащиеся в данной резолюции, в Государственную думу РФ, в Минобрнауки РФ, в Российскую академию наук, в Координационный совет по делам молодежи в научной и образовательной сферах Совета при Президенте РФ по науке и образованию.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351" w:val="left"/>
        </w:tabs>
        <w:bidi w:val="0"/>
        <w:spacing w:before="0" w:after="0"/>
        <w:ind w:left="0" w:right="0" w:firstLine="560"/>
        <w:jc w:val="both"/>
        <w:sectPr>
          <w:footnotePr>
            <w:pos w:val="pageBottom"/>
            <w:numFmt w:val="decimal"/>
            <w:numRestart w:val="continuous"/>
          </w:footnotePr>
          <w:pgSz w:w="11900" w:h="16840"/>
          <w:pgMar w:top="1483" w:left="1861" w:right="1060" w:bottom="1355" w:header="1055" w:footer="927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Обратиться в информационную комиссию ЦС Профсоюза с просьбой разместить данную резолюцию на всех информационных ресурсах Профсоюза.</w:t>
      </w:r>
    </w:p>
    <w:p>
      <w:pPr>
        <w:widowControl w:val="0"/>
        <w:spacing w:line="199" w:lineRule="exact"/>
        <w:rPr>
          <w:sz w:val="16"/>
          <w:szCs w:val="16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483" w:left="0" w:right="0" w:bottom="1483" w:header="0" w:footer="3" w:gutter="0"/>
          <w:cols w:space="720"/>
          <w:noEndnote/>
          <w:rtlGutter w:val="0"/>
          <w:docGrid w:linePitch="360"/>
        </w:sectPr>
      </w:pPr>
    </w:p>
    <w:p>
      <w:pPr>
        <w:pStyle w:val="Style2"/>
        <w:keepNext w:val="0"/>
        <w:keepLines w:val="0"/>
        <w:framePr w:w="4712" w:h="345" w:wrap="none" w:vAnchor="text" w:hAnchor="page" w:x="1878" w:y="16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Председатель Программного комитета</w:t>
      </w:r>
    </w:p>
    <w:p>
      <w:pPr>
        <w:pStyle w:val="Style2"/>
        <w:keepNext w:val="0"/>
        <w:keepLines w:val="0"/>
        <w:framePr w:w="3177" w:h="345" w:wrap="none" w:vAnchor="text" w:hAnchor="page" w:x="1874" w:y="177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Председатель Оргкомитета</w:t>
      </w:r>
    </w:p>
    <w:p>
      <w:pPr>
        <w:pStyle w:val="Style4"/>
        <w:keepNext w:val="0"/>
        <w:keepLines w:val="0"/>
        <w:framePr w:w="1798" w:h="348" w:wrap="none" w:vAnchor="text" w:hAnchor="page" w:x="8815" w:y="18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В.И. Нефёдкин</w:t>
      </w:r>
    </w:p>
    <w:p>
      <w:pPr>
        <w:pStyle w:val="Style2"/>
        <w:keepNext w:val="0"/>
        <w:keepLines w:val="0"/>
        <w:framePr w:w="1437" w:h="338" w:wrap="none" w:vAnchor="text" w:hAnchor="page" w:x="9081" w:y="176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А.В. Резник</w:t>
      </w:r>
    </w:p>
    <w:p>
      <w:pPr>
        <w:widowControl w:val="0"/>
        <w:spacing w:line="360" w:lineRule="exact"/>
      </w:pPr>
      <w:r>
        <w:drawing>
          <wp:anchor distT="0" distB="0" distL="0" distR="1330325" simplePos="0" relativeHeight="62914690" behindDoc="1" locked="0" layoutInCell="1" allowOverlap="1">
            <wp:simplePos x="0" y="0"/>
            <wp:positionH relativeFrom="page">
              <wp:posOffset>4363720</wp:posOffset>
            </wp:positionH>
            <wp:positionV relativeFrom="paragraph">
              <wp:posOffset>12700</wp:posOffset>
            </wp:positionV>
            <wp:extent cx="1042670" cy="1280160"/>
            <wp:wrapNone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1042670" cy="128016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75" w:line="1" w:lineRule="exact"/>
      </w:pP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1483" w:left="1862" w:right="1064" w:bottom="1483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2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num w:numId="1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5">
    <w:name w:val="Подпись к картинке_"/>
    <w:basedOn w:val="DefaultParagraphFont"/>
    <w:link w:val="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4">
    <w:name w:val="Подпись к картинке"/>
    <w:basedOn w:val="Normal"/>
    <w:link w:val="CharStyle5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