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fill="FFFFFF" w:val="clear"/>
        <w:spacing w:lineRule="auto" w:line="240" w:before="280" w:after="28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2C2D2E"/>
          <w:sz w:val="28"/>
          <w:szCs w:val="28"/>
          <w:lang w:eastAsia="ru-RU"/>
        </w:rPr>
        <w:t xml:space="preserve">Отчет о работе жилищной комиссии ЦС </w:t>
        <w:br/>
        <w:t>Всероссийского профсоюза работников РАН в 2025 г.</w:t>
      </w:r>
    </w:p>
    <w:p>
      <w:pPr>
        <w:pStyle w:val="Normal"/>
        <w:shd w:fill="FFFFFF" w:val="clear"/>
        <w:spacing w:lineRule="auto" w:line="240" w:before="280" w:after="280"/>
        <w:jc w:val="center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Работа жилищной комиссии осуществлялась по следующим направлениям: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I.</w:t>
        <w:tab/>
        <w:t>Государственные жилищные сертификаты (ГЖС)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II.</w:t>
        <w:tab/>
        <w:t>Служебное жилье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III.</w:t>
        <w:tab/>
        <w:t>Жилищно-строительные кооперативы</w:t>
      </w:r>
    </w:p>
    <w:p>
      <w:pPr>
        <w:pStyle w:val="Normal"/>
        <w:numPr>
          <w:ilvl w:val="0"/>
          <w:numId w:val="13"/>
        </w:numPr>
        <w:spacing w:lineRule="auto" w:line="257" w:before="0" w:after="160"/>
        <w:contextualSpacing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cs="Times New Roman" w:ascii="Times New Roman" w:hAnsi="Times New Roman"/>
          <w:kern w:val="2"/>
          <w:sz w:val="28"/>
          <w:szCs w:val="28"/>
        </w:rPr>
        <w:t>Государственные жилищные сертификаты (ГЖС)</w:t>
      </w:r>
    </w:p>
    <w:p>
      <w:pPr>
        <w:pStyle w:val="Normal"/>
        <w:spacing w:lineRule="auto" w:line="257" w:before="0" w:after="160"/>
        <w:ind w:start="1418" w:end="0"/>
        <w:contextualSpacing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cs="Times New Roman" w:ascii="Times New Roman" w:hAnsi="Times New Roman"/>
          <w:kern w:val="2"/>
          <w:sz w:val="28"/>
          <w:szCs w:val="28"/>
        </w:rPr>
        <w:t>Выделено: 260 млн.руб.</w:t>
      </w:r>
    </w:p>
    <w:p>
      <w:pPr>
        <w:pStyle w:val="Normal"/>
        <w:spacing w:lineRule="auto" w:line="257" w:before="0" w:after="160"/>
        <w:ind w:firstLine="698" w:start="720" w:end="0"/>
        <w:contextualSpacing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cs="Times New Roman" w:ascii="Times New Roman" w:hAnsi="Times New Roman"/>
          <w:kern w:val="2"/>
          <w:sz w:val="28"/>
          <w:szCs w:val="28"/>
        </w:rPr>
        <w:t>Подано: 260 заявок</w:t>
      </w:r>
    </w:p>
    <w:p>
      <w:pPr>
        <w:pStyle w:val="Normal"/>
        <w:spacing w:lineRule="auto" w:line="257" w:before="0" w:after="160"/>
        <w:ind w:firstLine="698" w:start="720" w:end="0"/>
        <w:contextualSpacing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cs="Times New Roman" w:ascii="Times New Roman" w:hAnsi="Times New Roman"/>
          <w:kern w:val="2"/>
          <w:sz w:val="28"/>
          <w:szCs w:val="28"/>
        </w:rPr>
        <w:t>Признано: 106 участников мероприятия</w:t>
      </w:r>
    </w:p>
    <w:p>
      <w:pPr>
        <w:pStyle w:val="Normal"/>
        <w:spacing w:lineRule="auto" w:line="257" w:before="0" w:after="160"/>
        <w:ind w:firstLine="698" w:start="720" w:end="0"/>
        <w:contextualSpacing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cs="Times New Roman" w:ascii="Times New Roman" w:hAnsi="Times New Roman"/>
          <w:kern w:val="2"/>
          <w:sz w:val="28"/>
          <w:szCs w:val="28"/>
        </w:rPr>
        <w:t>Отказ: 154 заявки.</w:t>
      </w:r>
    </w:p>
    <w:p>
      <w:pPr>
        <w:pStyle w:val="Normal"/>
        <w:spacing w:lineRule="auto" w:line="257" w:before="0" w:after="160"/>
        <w:ind w:firstLine="698" w:start="720" w:end="0"/>
        <w:contextualSpacing/>
        <w:rPr/>
      </w:pPr>
      <w:r>
        <w:rPr>
          <w:rFonts w:cs="Times New Roman" w:ascii="Times New Roman" w:hAnsi="Times New Roman"/>
          <w:kern w:val="2"/>
          <w:sz w:val="28"/>
          <w:szCs w:val="28"/>
        </w:rPr>
        <w:t>Выделено: 49 чел. Из них РАН 21 чел.</w:t>
      </w:r>
    </w:p>
    <w:p>
      <w:pPr>
        <w:pStyle w:val="Normal"/>
        <w:spacing w:lineRule="auto" w:line="257" w:before="0" w:after="160"/>
        <w:ind w:firstLine="698" w:start="720" w:end="0"/>
        <w:contextualSpacing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cs="Times New Roman" w:ascii="Times New Roman" w:hAnsi="Times New Roman"/>
          <w:kern w:val="2"/>
          <w:sz w:val="28"/>
          <w:szCs w:val="28"/>
        </w:rPr>
      </w:r>
    </w:p>
    <w:tbl>
      <w:tblPr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115"/>
        <w:gridCol w:w="3115"/>
        <w:gridCol w:w="1620"/>
        <w:gridCol w:w="1495"/>
      </w:tblGrid>
      <w:tr>
        <w:trPr/>
        <w:tc>
          <w:tcPr>
            <w:tcW w:w="311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Раздел наук</w:t>
            </w:r>
          </w:p>
        </w:tc>
        <w:tc>
          <w:tcPr>
            <w:tcW w:w="311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Количество</w:t>
            </w:r>
          </w:p>
        </w:tc>
        <w:tc>
          <w:tcPr>
            <w:tcW w:w="31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Показатель научной деятельности</w:t>
            </w:r>
          </w:p>
        </w:tc>
      </w:tr>
      <w:tr>
        <w:trPr/>
        <w:tc>
          <w:tcPr>
            <w:tcW w:w="311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</w:r>
          </w:p>
        </w:tc>
        <w:tc>
          <w:tcPr>
            <w:tcW w:w="311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  <w:lang w:val="en-US"/>
              </w:rPr>
              <w:t>max</w:t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  <w:lang w:val="en-US"/>
              </w:rPr>
              <w:t>min</w:t>
            </w:r>
          </w:p>
        </w:tc>
      </w:tr>
      <w:tr>
        <w:trPr/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Естественные науки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19 чел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270</w:t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123</w:t>
            </w:r>
          </w:p>
        </w:tc>
      </w:tr>
      <w:tr>
        <w:trPr/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Технические науки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10 чел.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253,33</w:t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79,17</w:t>
            </w:r>
          </w:p>
        </w:tc>
      </w:tr>
      <w:tr>
        <w:trPr/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Сельско-хоз. науки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5 чел.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172,56</w:t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36,15</w:t>
            </w:r>
          </w:p>
        </w:tc>
      </w:tr>
      <w:tr>
        <w:trPr/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Социогуманитарные науки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9 чел.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478,22</w:t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36</w:t>
            </w:r>
          </w:p>
        </w:tc>
      </w:tr>
      <w:tr>
        <w:trPr/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Медицинские науки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6 чел.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118</w:t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  <w:t>3 чел.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</w:r>
          </w:p>
        </w:tc>
        <w:tc>
          <w:tcPr>
            <w:tcW w:w="1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57" w:before="0" w:after="160"/>
        <w:contextualSpacing/>
        <w:rPr>
          <w:rFonts w:ascii="Times New Roman" w:hAnsi="Times New Roman" w:cs="Times New Roman"/>
          <w:kern w:val="2"/>
          <w:sz w:val="28"/>
          <w:szCs w:val="28"/>
          <w:lang w:val="en-US"/>
        </w:rPr>
      </w:pPr>
      <w:r>
        <w:rPr>
          <w:rFonts w:cs="Times New Roman" w:ascii="Times New Roman" w:hAnsi="Times New Roman"/>
          <w:kern w:val="2"/>
          <w:sz w:val="28"/>
          <w:szCs w:val="28"/>
          <w:lang w:val="en-US"/>
        </w:rPr>
      </w:r>
    </w:p>
    <w:p>
      <w:pPr>
        <w:pStyle w:val="Normal"/>
        <w:spacing w:lineRule="auto" w:line="257" w:before="0" w:after="160"/>
        <w:contextualSpacing/>
        <w:jc w:val="center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cs="Times New Roman" w:ascii="Times New Roman" w:hAnsi="Times New Roman"/>
          <w:kern w:val="2"/>
          <w:sz w:val="28"/>
          <w:szCs w:val="28"/>
          <w:lang w:val="en-US"/>
        </w:rPr>
        <w:t>II</w:t>
      </w:r>
      <w:r>
        <w:rPr>
          <w:rFonts w:cs="Times New Roman" w:ascii="Times New Roman" w:hAnsi="Times New Roman"/>
          <w:kern w:val="2"/>
          <w:sz w:val="28"/>
          <w:szCs w:val="28"/>
        </w:rPr>
        <w:t xml:space="preserve"> –</w:t>
      </w:r>
      <w:r>
        <w:rPr>
          <w:rFonts w:cs="Times New Roman" w:ascii="Times New Roman" w:hAnsi="Times New Roman"/>
          <w:kern w:val="2"/>
          <w:sz w:val="28"/>
          <w:szCs w:val="28"/>
          <w:lang w:val="en-US"/>
        </w:rPr>
        <w:t>III</w:t>
      </w:r>
      <w:r>
        <w:rPr>
          <w:rFonts w:cs="Times New Roman" w:ascii="Times New Roman" w:hAnsi="Times New Roman"/>
          <w:kern w:val="2"/>
          <w:sz w:val="28"/>
          <w:szCs w:val="28"/>
        </w:rPr>
        <w:t xml:space="preserve">: </w:t>
      </w:r>
      <w:r>
        <w:rPr>
          <w:rFonts w:cs="Times New Roman" w:ascii="Times New Roman" w:hAnsi="Times New Roman"/>
          <w:kern w:val="2"/>
          <w:sz w:val="28"/>
          <w:szCs w:val="28"/>
          <w:u w:val="single"/>
        </w:rPr>
        <w:t>Жилищные кооперативы и Служебное жилье</w:t>
      </w:r>
    </w:p>
    <w:p>
      <w:pPr>
        <w:pStyle w:val="Normal"/>
        <w:spacing w:lineRule="auto" w:line="257" w:before="0" w:after="160"/>
        <w:contextualSpacing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cs="Times New Roman" w:ascii="Times New Roman" w:hAnsi="Times New Roman"/>
          <w:kern w:val="2"/>
          <w:sz w:val="28"/>
          <w:szCs w:val="28"/>
        </w:rPr>
      </w:r>
    </w:p>
    <w:p>
      <w:pPr>
        <w:pStyle w:val="Normal"/>
        <w:spacing w:lineRule="auto" w:line="257" w:before="0" w:after="160"/>
        <w:contextualSpacing/>
        <w:rPr/>
      </w:pPr>
      <w:r>
        <w:rPr>
          <w:rFonts w:cs="Times New Roman" w:ascii="Times New Roman" w:hAnsi="Times New Roman"/>
          <w:kern w:val="2"/>
          <w:sz w:val="28"/>
          <w:szCs w:val="28"/>
        </w:rPr>
        <w:t xml:space="preserve">    </w:t>
      </w:r>
      <w:r>
        <w:rPr>
          <w:rFonts w:cs="Times New Roman" w:ascii="Times New Roman" w:hAnsi="Times New Roman"/>
          <w:kern w:val="2"/>
          <w:sz w:val="28"/>
          <w:szCs w:val="28"/>
        </w:rPr>
        <w:t>Состоялось 9 заседаний Жилищной комиссии Министерства науки и высшего образования РФ. Согласовано 252 заявление граждан на право быть принятыми в члены жилищно-строительных кооперативов.</w:t>
      </w:r>
    </w:p>
    <w:p>
      <w:pPr>
        <w:pStyle w:val="Normal"/>
        <w:spacing w:lineRule="auto" w:line="257" w:before="0" w:after="160"/>
        <w:ind w:firstLine="240" w:end="0"/>
        <w:contextualSpacing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cs="Times New Roman" w:ascii="Times New Roman" w:hAnsi="Times New Roman"/>
          <w:kern w:val="2"/>
          <w:sz w:val="28"/>
          <w:szCs w:val="28"/>
        </w:rPr>
        <w:t>Предоставление служебного жилья: согласовано 105 заявлений.</w:t>
      </w:r>
    </w:p>
    <w:p>
      <w:pPr>
        <w:pStyle w:val="Normal"/>
        <w:spacing w:lineRule="auto" w:line="257" w:before="0" w:after="160"/>
        <w:ind w:firstLine="240" w:end="0"/>
        <w:contextualSpacing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cs="Times New Roman" w:ascii="Times New Roman" w:hAnsi="Times New Roman"/>
          <w:kern w:val="2"/>
          <w:sz w:val="28"/>
          <w:szCs w:val="28"/>
        </w:rPr>
      </w:r>
    </w:p>
    <w:p>
      <w:pPr>
        <w:pStyle w:val="Normal"/>
        <w:spacing w:lineRule="auto" w:line="257" w:before="0" w:after="160"/>
        <w:ind w:firstLine="240" w:end="0"/>
        <w:contextualSpacing/>
        <w:jc w:val="center"/>
        <w:rPr/>
      </w:pPr>
      <w:r>
        <w:rPr>
          <w:rFonts w:cs="Times New Roman" w:ascii="Times New Roman" w:hAnsi="Times New Roman"/>
          <w:kern w:val="2"/>
          <w:sz w:val="28"/>
          <w:szCs w:val="28"/>
        </w:rPr>
        <w:t>Текущая деятельность</w:t>
      </w:r>
    </w:p>
    <w:p>
      <w:pPr>
        <w:pStyle w:val="Normal"/>
        <w:spacing w:lineRule="auto" w:line="257" w:before="0" w:after="160"/>
        <w:ind w:firstLine="240" w:end="0"/>
        <w:contextualSpacing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cs="Times New Roman" w:ascii="Times New Roman" w:hAnsi="Times New Roman"/>
          <w:kern w:val="2"/>
          <w:sz w:val="28"/>
          <w:szCs w:val="28"/>
        </w:rPr>
      </w:r>
    </w:p>
    <w:p>
      <w:pPr>
        <w:pStyle w:val="Normal"/>
        <w:spacing w:lineRule="auto" w:line="257" w:before="0" w:after="160"/>
        <w:ind w:firstLine="240" w:end="0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cs="Times New Roman" w:ascii="Times New Roman" w:hAnsi="Times New Roman"/>
          <w:kern w:val="2"/>
          <w:sz w:val="28"/>
          <w:szCs w:val="28"/>
        </w:rPr>
        <w:tab/>
        <w:t>. Переписка с Минобрнауки: было направлено 6 писем по мероприятиям обусловленным Приказом Минобрнауки, связанными с предоставлением ГЖС;</w:t>
      </w:r>
    </w:p>
    <w:p>
      <w:pPr>
        <w:pStyle w:val="Normal"/>
        <w:spacing w:lineRule="auto" w:line="257" w:before="0" w:after="160"/>
        <w:ind w:firstLine="240" w:end="0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cs="Times New Roman" w:ascii="Times New Roman" w:hAnsi="Times New Roman"/>
          <w:kern w:val="2"/>
          <w:sz w:val="28"/>
          <w:szCs w:val="28"/>
        </w:rPr>
        <w:t>Направлено 2 письма с предложением корректировки Приказа Минобрнауки РФ №1363 от 22.12.2021, связанных с предложением мониторинга служебного для определения «свободного» служебного жилья. В ответе Минобрнауки РФ предложение о корректировке Приказа о введении мониторинга служебного и доступность его результатов в «свободном доступе» признано «Нецелесообразным».</w:t>
      </w:r>
    </w:p>
    <w:p>
      <w:pPr>
        <w:pStyle w:val="Normal"/>
        <w:spacing w:lineRule="auto" w:line="257" w:before="0" w:after="160"/>
        <w:ind w:firstLine="240" w:end="0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cs="Times New Roman" w:ascii="Times New Roman" w:hAnsi="Times New Roman"/>
          <w:kern w:val="2"/>
          <w:sz w:val="28"/>
          <w:szCs w:val="28"/>
        </w:rPr>
        <w:t>Письмо о предоставлении служебного жилья семье из Суджанского района Курской области – принято «положительное решение».</w:t>
      </w:r>
    </w:p>
    <w:p>
      <w:pPr>
        <w:pStyle w:val="Normal"/>
        <w:spacing w:lineRule="auto" w:line="257" w:before="0" w:after="160"/>
        <w:ind w:firstLine="240" w:end="0"/>
        <w:contextualSpacing/>
        <w:jc w:val="both"/>
        <w:rPr/>
      </w:pPr>
      <w:r>
        <w:rPr>
          <w:rFonts w:cs="Times New Roman" w:ascii="Times New Roman" w:hAnsi="Times New Roman"/>
          <w:kern w:val="2"/>
          <w:sz w:val="28"/>
          <w:szCs w:val="28"/>
        </w:rPr>
        <w:t>2 письма по поводу работы Екатеринбургского филиала «Комфортной среды» и обслуживание «Дома молодых ученых и специалистов» в центральный офис «Комфортной среды». Принято положительное решение.</w:t>
      </w:r>
    </w:p>
    <w:p>
      <w:pPr>
        <w:pStyle w:val="Normal"/>
        <w:spacing w:lineRule="auto" w:line="257" w:before="0" w:after="160"/>
        <w:ind w:firstLine="240" w:end="0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cs="Times New Roman" w:ascii="Times New Roman" w:hAnsi="Times New Roman"/>
          <w:kern w:val="2"/>
          <w:sz w:val="28"/>
          <w:szCs w:val="28"/>
        </w:rPr>
        <w:t>Ответ молодому ученому Чепусову А.С. (Екатеринбург) по оценке правомочности отказа в признании участником мероприятия по предоставлению ГЖС.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/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Состав жилищной комиссии ЦС Всероссийского профсоюза работников РАН в 2024г.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1.</w:t>
        <w:tab/>
        <w:t>Рябцева Ирина Павловна, Борок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2.</w:t>
        <w:tab/>
        <w:t>Криницын Роман Владимирович, Екатеринбург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3.</w:t>
        <w:tab/>
        <w:t>Левицкий Иван Владимирович, Иркутск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4.</w:t>
        <w:tab/>
        <w:t>Бабаев Василий Михайлович, Казань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5.</w:t>
        <w:tab/>
        <w:t>Богданов Андрей Владимирович, Казань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6.</w:t>
        <w:tab/>
        <w:t>Буракова Людмила Петровна, Красноярск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/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7.</w:t>
        <w:tab/>
        <w:t>Михайлова Ирина Анатольевна, Красноярск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8.</w:t>
        <w:tab/>
        <w:t>Савушкин Александр Александрович, Крым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9.</w:t>
        <w:tab/>
        <w:t>Гусейнова Аида Шапиулаховна, Махачкала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10.</w:t>
        <w:tab/>
        <w:t>Демченко Николай Григорьевич, Москва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11.</w:t>
        <w:tab/>
        <w:t>Адамчик Сергей Александрович, Нижний Новгород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/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12.</w:t>
        <w:tab/>
        <w:t>Недопрядченко Елена Анатольевна, Новосибирск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13.</w:t>
        <w:tab/>
        <w:t>Панкова Татьяна Владимировна, Новосибирск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14.</w:t>
        <w:tab/>
        <w:t>Попова Татьяна Владимировна, Карелия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15.</w:t>
        <w:tab/>
        <w:t>Кузнецов Руслан Алексеевич, П-Камчатский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16.</w:t>
        <w:tab/>
        <w:t>Ильясова Елена Николаевна, Пущино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17.</w:t>
        <w:tab/>
        <w:t>Тюрнина Наталья Геральдовна, С-Петербург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/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18.</w:t>
        <w:tab/>
        <w:t>Глебова Надежда Викторовна, С-Петербург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19.</w:t>
        <w:tab/>
        <w:t>Евстигнеева Стелла Сергеевна, Томск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20.</w:t>
        <w:tab/>
        <w:t>Ивлев Георгий Алексеевич, Томск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21.</w:t>
        <w:tab/>
        <w:t>Савкин Денис Евгеньевич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/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22.</w:t>
        <w:tab/>
        <w:t>Носарева Светлана Павловна Уфа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23.</w:t>
        <w:tab/>
        <w:t>Тухбатуллин Адис Анисович, Уфа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24.</w:t>
        <w:tab/>
        <w:t>Волчкова Надежда Владимировна, Черноголовка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/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25.</w:t>
        <w:tab/>
        <w:t>Киселева Елена Александровна, Москва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В 2025 г. из состав комиссии  вышли по собственному желанию два представителя «Казанского научного центра» Бабаев Василий Михайлович и Богданов Андрей Владимирович.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center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Заключение: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/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1.</w:t>
        <w:tab/>
        <w:t>Следует отметить высокую активность ответственного за ГЖС представителя жилищной комиссии Киселевой Елены Александровны, которая провела около 300 индивидуальных и свыше 10 коллективных консультаций. По проблемам оформления пакетов документов для участников мероприятий по ГЖС.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/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2.</w:t>
        <w:tab/>
        <w:t>Проявлена низкая активность членов жилищной комиссии ЦС (представителей в регионах) в работе с соискателями ГЖС.</w:t>
      </w:r>
    </w:p>
    <w:p>
      <w:pPr>
        <w:pStyle w:val="Normal"/>
        <w:shd w:fill="FFFFFF" w:val="clear"/>
        <w:spacing w:lineRule="auto" w:line="240" w:before="280" w:after="280"/>
        <w:ind w:start="786" w:end="0"/>
        <w:jc w:val="both"/>
        <w:rPr/>
      </w:pPr>
      <w:r>
        <w:rPr>
          <w:rFonts w:eastAsia="Times New Roman" w:cs="Times New Roman" w:ascii="Times New Roman" w:hAnsi="Times New Roman"/>
          <w:color w:val="2C2D2E"/>
          <w:sz w:val="28"/>
          <w:szCs w:val="28"/>
          <w:lang w:eastAsia="ru-RU"/>
        </w:rPr>
        <w:t>3.</w:t>
        <w:tab/>
        <w:t>В Приказе Минобрнауки РФ №1363 от 22.12.2021 г. по предоставлению служебного жилья имеется «неясность» порядка установления свободного служебного жилья, что обусловлено отсутствием свободного доступа к результатам его мониторинга.</w:t>
      </w:r>
    </w:p>
    <w:p>
      <w:pPr>
        <w:pStyle w:val="Normal"/>
        <w:shd w:fill="FFFFFF" w:val="clear"/>
        <w:spacing w:lineRule="auto" w:line="240" w:before="280" w:after="280"/>
        <w:jc w:val="end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 xml:space="preserve">Председатель Жилищной комиссии ЦС Профсоюза работников РАН </w:t>
        <w:br/>
        <w:t>Н.Г. Демченко</w:t>
      </w:r>
    </w:p>
    <w:sectPr>
      <w:footerReference w:type="default" r:id="rId21"/>
      <w:footerReference w:type="first" r:id="rId22"/>
      <w:type w:val="nextPage"/>
      <w:pgSz w:w="11906" w:h="16838"/>
      <w:pgMar w:left="1701" w:right="850" w:gutter="0" w:header="0" w:top="567" w:footer="0" w:bottom="709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Wingdings">
    <w:charset w:val="02"/>
    <w:family w:val="auto"/>
    <w:pitch w:val="variable"/>
  </w:font>
  <w:font w:name="Courier New">
    <w:charset w:val="cc"/>
    <w:family w:val="modern"/>
    <w:pitch w:val="default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imesNewRomanPSMT">
    <w:altName w:val="Times New Roman"/>
    <w:charset w:val="00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43</w:t>
    </w:r>
    <w:r>
      <w:rPr/>
      <w:fldChar w:fldCharType="end"/>
    </w:r>
  </w:p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b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cs="Times New Roman"/>
        <w:b/>
      </w:rPr>
    </w:lvl>
  </w:abstractNum>
  <w:abstractNum w:abstractNumId="7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0"/>
        </w:tabs>
        <w:ind w:start="1647" w:hanging="360"/>
      </w:pPr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0"/>
        </w:tabs>
        <w:ind w:start="427" w:hanging="360"/>
      </w:pPr>
      <w:rPr>
        <w:b w:val="false"/>
        <w:i w:val="false"/>
        <w:spacing w:val="0"/>
        <w:w w:val="100"/>
        <w:lang w:bidi="ar-SA"/>
      </w:rPr>
    </w:lvl>
    <w:lvl w:ilvl="1">
      <w:start w:val="0"/>
      <w:numFmt w:val="bullet"/>
      <w:lvlText w:val="-"/>
      <w:lvlJc w:val="start"/>
      <w:pPr>
        <w:tabs>
          <w:tab w:val="num" w:pos="0"/>
        </w:tabs>
        <w:ind w:start="566" w:hanging="140"/>
      </w:pPr>
      <w:rPr>
        <w:rFonts w:ascii="Times New Roman" w:hAnsi="Times New Roman" w:cs="Times New Roman" w:hint="default"/>
        <w:spacing w:val="0"/>
        <w:w w:val="100"/>
        <w:lang w:bidi="ar-SA"/>
      </w:rPr>
    </w:lvl>
    <w:lvl w:ilvl="2">
      <w:start w:val="0"/>
      <w:numFmt w:val="bullet"/>
      <w:lvlText w:val="•"/>
      <w:lvlJc w:val="start"/>
      <w:pPr>
        <w:tabs>
          <w:tab w:val="num" w:pos="0"/>
        </w:tabs>
        <w:ind w:start="1600" w:hanging="140"/>
      </w:pPr>
      <w:rPr>
        <w:rFonts w:ascii="Liberation Serif" w:hAnsi="Liberation Serif" w:cs="Liberation Serif" w:hint="default"/>
        <w:lang w:bidi="ar-SA"/>
      </w:rPr>
    </w:lvl>
    <w:lvl w:ilvl="3">
      <w:start w:val="0"/>
      <w:numFmt w:val="bullet"/>
      <w:lvlText w:val="•"/>
      <w:lvlJc w:val="start"/>
      <w:pPr>
        <w:tabs>
          <w:tab w:val="num" w:pos="0"/>
        </w:tabs>
        <w:ind w:start="2640" w:hanging="140"/>
      </w:pPr>
      <w:rPr>
        <w:rFonts w:ascii="Liberation Serif" w:hAnsi="Liberation Serif" w:cs="Liberation Serif" w:hint="default"/>
        <w:lang w:bidi="ar-SA"/>
      </w:rPr>
    </w:lvl>
    <w:lvl w:ilvl="4">
      <w:start w:val="0"/>
      <w:numFmt w:val="bullet"/>
      <w:lvlText w:val="•"/>
      <w:lvlJc w:val="start"/>
      <w:pPr>
        <w:tabs>
          <w:tab w:val="num" w:pos="0"/>
        </w:tabs>
        <w:ind w:start="3681" w:hanging="140"/>
      </w:pPr>
      <w:rPr>
        <w:rFonts w:ascii="Liberation Serif" w:hAnsi="Liberation Serif" w:cs="Liberation Serif" w:hint="default"/>
        <w:lang w:bidi="ar-SA"/>
      </w:rPr>
    </w:lvl>
    <w:lvl w:ilvl="5">
      <w:start w:val="0"/>
      <w:numFmt w:val="bullet"/>
      <w:lvlText w:val="•"/>
      <w:lvlJc w:val="start"/>
      <w:pPr>
        <w:tabs>
          <w:tab w:val="num" w:pos="0"/>
        </w:tabs>
        <w:ind w:start="4721" w:hanging="140"/>
      </w:pPr>
      <w:rPr>
        <w:rFonts w:ascii="Liberation Serif" w:hAnsi="Liberation Serif" w:cs="Liberation Serif" w:hint="default"/>
        <w:lang w:bidi="ar-SA"/>
      </w:rPr>
    </w:lvl>
    <w:lvl w:ilvl="6">
      <w:start w:val="0"/>
      <w:numFmt w:val="bullet"/>
      <w:lvlText w:val="•"/>
      <w:lvlJc w:val="start"/>
      <w:pPr>
        <w:tabs>
          <w:tab w:val="num" w:pos="0"/>
        </w:tabs>
        <w:ind w:start="5761" w:hanging="140"/>
      </w:pPr>
      <w:rPr>
        <w:rFonts w:ascii="Liberation Serif" w:hAnsi="Liberation Serif" w:cs="Liberation Serif" w:hint="default"/>
        <w:lang w:bidi="ar-SA"/>
      </w:rPr>
    </w:lvl>
    <w:lvl w:ilvl="7">
      <w:start w:val="0"/>
      <w:numFmt w:val="bullet"/>
      <w:lvlText w:val="•"/>
      <w:lvlJc w:val="start"/>
      <w:pPr>
        <w:tabs>
          <w:tab w:val="num" w:pos="0"/>
        </w:tabs>
        <w:ind w:start="6802" w:hanging="140"/>
      </w:pPr>
      <w:rPr>
        <w:rFonts w:ascii="Liberation Serif" w:hAnsi="Liberation Serif" w:cs="Liberation Serif" w:hint="default"/>
        <w:lang w:bidi="ar-SA"/>
      </w:rPr>
    </w:lvl>
    <w:lvl w:ilvl="8">
      <w:start w:val="0"/>
      <w:numFmt w:val="bullet"/>
      <w:lvlText w:val="•"/>
      <w:lvlJc w:val="start"/>
      <w:pPr>
        <w:tabs>
          <w:tab w:val="num" w:pos="0"/>
        </w:tabs>
        <w:ind w:start="7842" w:hanging="140"/>
      </w:pPr>
      <w:rPr>
        <w:rFonts w:ascii="Liberation Serif" w:hAnsi="Liberation Serif" w:cs="Liberation Serif" w:hint="default"/>
        <w:lang w:bidi="ar-SA"/>
      </w:rPr>
    </w:lvl>
  </w:abstractNum>
  <w:abstractNum w:abstractNumId="13">
    <w:lvl w:ilvl="0">
      <w:start w:val="1"/>
      <w:numFmt w:val="upperRoman"/>
      <w:lvlText w:val="%1."/>
      <w:lvlJc w:val="start"/>
      <w:pPr>
        <w:tabs>
          <w:tab w:val="num" w:pos="0"/>
        </w:tabs>
        <w:ind w:start="2138" w:hanging="720"/>
      </w:pPr>
      <w:rPr/>
    </w:lvl>
  </w:abstractNum>
  <w:abstractNum w:abstractNumId="14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bidi="ar-SA" w:val="ru-RU" w:eastAsia="zh-CN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Wingdings" w:hAnsi="Wingdings" w:cs="Wingdings"/>
      <w:b/>
    </w:rPr>
  </w:style>
  <w:style w:type="character" w:styleId="WW8Num2z1">
    <w:name w:val="WW8Num2z1"/>
    <w:qFormat/>
    <w:rPr>
      <w:rFonts w:cs="Times New Roman"/>
    </w:rPr>
  </w:style>
  <w:style w:type="character" w:styleId="WW8Num3z0">
    <w:name w:val="WW8Num3z0"/>
    <w:qFormat/>
    <w:rPr>
      <w:rFonts w:ascii="Calibri" w:hAnsi="Calibri" w:cs="Calibri"/>
      <w:sz w:val="22"/>
    </w:rPr>
  </w:style>
  <w:style w:type="character" w:styleId="WW8Num4z0">
    <w:name w:val="WW8Num4z0"/>
    <w:qFormat/>
    <w:rPr>
      <w:rFonts w:ascii="Calibri" w:hAnsi="Calibri" w:cs="Calibri"/>
      <w:sz w:val="22"/>
    </w:rPr>
  </w:style>
  <w:style w:type="character" w:styleId="WW8Num5z0">
    <w:name w:val="WW8Num5z0"/>
    <w:qFormat/>
    <w:rPr>
      <w:rFonts w:ascii="Calibri" w:hAnsi="Calibri" w:cs="Calibri"/>
      <w:sz w:val="22"/>
    </w:rPr>
  </w:style>
  <w:style w:type="character" w:styleId="WW8Num6z0">
    <w:name w:val="WW8Num6z0"/>
    <w:qFormat/>
    <w:rPr>
      <w:sz w:val="24"/>
      <w:szCs w:val="24"/>
    </w:rPr>
  </w:style>
  <w:style w:type="character" w:styleId="WW8Num7z0">
    <w:name w:val="WW8Num7z0"/>
    <w:qFormat/>
    <w:rPr>
      <w:rFonts w:cs="Times New Roman"/>
      <w:b/>
    </w:rPr>
  </w:style>
  <w:style w:type="character" w:styleId="WW8Num7z1">
    <w:name w:val="WW8Num7z1"/>
    <w:qFormat/>
    <w:rPr>
      <w:rFonts w:cs="Times New Roman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Wingdings" w:hAnsi="Wingdings" w:cs="Wingdings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Calibri" w:hAnsi="Calibri" w:cs="Calibri"/>
    </w:rPr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Times New Roman" w:hAnsi="Times New Roman" w:eastAsia="Times New Roman" w:cs="Times New Roman"/>
    </w:rPr>
  </w:style>
  <w:style w:type="character" w:styleId="WW8Num14z1">
    <w:name w:val="WW8Num14z1"/>
    <w:qFormat/>
    <w:rPr>
      <w:rFonts w:ascii="Calibri" w:hAnsi="Calibri" w:cs="Calibri"/>
    </w:rPr>
  </w:style>
  <w:style w:type="character" w:styleId="WW8Num15z0">
    <w:name w:val="WW8Num15z0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>
      <w:rFonts w:ascii="Wingdings" w:hAnsi="Wingdings" w:cs="Wingdings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17z0">
    <w:name w:val="WW8Num17z0"/>
    <w:qFormat/>
    <w:rPr>
      <w:rFonts w:ascii="Wingdings" w:hAnsi="Wingdings" w:cs="Wingdings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1z0">
    <w:name w:val="WW8Num21z0"/>
    <w:qFormat/>
    <w:rPr>
      <w:b w:val="false"/>
      <w:i w:val="false"/>
      <w:spacing w:val="0"/>
      <w:w w:val="100"/>
      <w:lang w:bidi="ar-SA"/>
    </w:rPr>
  </w:style>
  <w:style w:type="character" w:styleId="WW8Num21z1">
    <w:name w:val="WW8Num21z1"/>
    <w:qFormat/>
    <w:rPr>
      <w:rFonts w:ascii="Times New Roman" w:hAnsi="Times New Roman" w:eastAsia="Times New Roman" w:cs="Times New Roman"/>
      <w:spacing w:val="0"/>
      <w:w w:val="100"/>
      <w:lang w:bidi="ar-SA"/>
    </w:rPr>
  </w:style>
  <w:style w:type="character" w:styleId="WW8Num21z2">
    <w:name w:val="WW8Num21z2"/>
    <w:qFormat/>
    <w:rPr>
      <w:lang w:bidi="ar-SA"/>
    </w:rPr>
  </w:style>
  <w:style w:type="character" w:styleId="WW8Num22z0">
    <w:name w:val="WW8Num22z0"/>
    <w:qFormat/>
    <w:rPr/>
  </w:style>
  <w:style w:type="character" w:styleId="WW8Num23z0">
    <w:name w:val="WW8Num23z0"/>
    <w:qFormat/>
    <w:rPr/>
  </w:style>
  <w:style w:type="character" w:styleId="WW8Num24z0">
    <w:name w:val="WW8Num24z0"/>
    <w:qFormat/>
    <w:rPr>
      <w:rFonts w:ascii="Wingdings" w:hAnsi="Wingdings" w:cs="Wingdings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rFonts w:ascii="Wingdings" w:hAnsi="Wingdings" w:cs="Wingdings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3">
    <w:name w:val="WW8Num25z3"/>
    <w:qFormat/>
    <w:rPr>
      <w:rFonts w:ascii="Symbol" w:hAnsi="Symbol" w:cs="Symbol"/>
    </w:rPr>
  </w:style>
  <w:style w:type="character" w:styleId="WW8Num26z0">
    <w:name w:val="WW8Num26z0"/>
    <w:qFormat/>
    <w:rPr>
      <w:rFonts w:ascii="Wingdings" w:hAnsi="Wingdings" w:cs="Wingdings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3">
    <w:name w:val="WW8Num26z3"/>
    <w:qFormat/>
    <w:rPr>
      <w:rFonts w:ascii="Symbol" w:hAnsi="Symbol" w:cs="Symbol"/>
    </w:rPr>
  </w:style>
  <w:style w:type="character" w:styleId="WW8Num27z0">
    <w:name w:val="WW8Num27z0"/>
    <w:qFormat/>
    <w:rPr>
      <w:rFonts w:cs="Times New Roman"/>
    </w:rPr>
  </w:style>
  <w:style w:type="character" w:styleId="WW8Num27z1">
    <w:name w:val="WW8Num27z1"/>
    <w:qFormat/>
    <w:rPr>
      <w:rFonts w:cs="Times New Roman"/>
    </w:rPr>
  </w:style>
  <w:style w:type="character" w:styleId="WW8Num28z0">
    <w:name w:val="WW8Num28z0"/>
    <w:qFormat/>
    <w:rPr/>
  </w:style>
  <w:style w:type="character" w:styleId="WW8Num29z0">
    <w:name w:val="WW8Num29z0"/>
    <w:qFormat/>
    <w:rPr/>
  </w:style>
  <w:style w:type="character" w:styleId="WW8Num30z0">
    <w:name w:val="WW8Num30z0"/>
    <w:qFormat/>
    <w:rPr>
      <w:b w:val="false"/>
      <w:bCs/>
    </w:rPr>
  </w:style>
  <w:style w:type="character" w:styleId="Style14">
    <w:name w:val="Основной шрифт абзаца"/>
    <w:qFormat/>
    <w:rPr/>
  </w:style>
  <w:style w:type="character" w:styleId="Hyperlink">
    <w:name w:val="Hyperlink"/>
    <w:rPr>
      <w:rFonts w:cs="Times New Roman"/>
      <w:color w:val="0000FF"/>
      <w:u w:val="single"/>
    </w:rPr>
  </w:style>
  <w:style w:type="character" w:styleId="Style15">
    <w:name w:val="Заголовок Знак"/>
    <w:qFormat/>
    <w:rPr>
      <w:rFonts w:ascii="Arial" w:hAnsi="Arial" w:eastAsia="Times New Roman" w:cs="Arial"/>
      <w:color w:val="17365D"/>
      <w:spacing w:val="5"/>
      <w:kern w:val="2"/>
      <w:sz w:val="52"/>
      <w:szCs w:val="52"/>
    </w:rPr>
  </w:style>
  <w:style w:type="character" w:styleId="Style16">
    <w:name w:val="Верхний колонтитул Знак"/>
    <w:qFormat/>
    <w:rPr>
      <w:sz w:val="22"/>
      <w:szCs w:val="22"/>
    </w:rPr>
  </w:style>
  <w:style w:type="character" w:styleId="Style17">
    <w:name w:val="Нижний колонтитул Знак"/>
    <w:qFormat/>
    <w:rPr>
      <w:sz w:val="22"/>
      <w:szCs w:val="22"/>
    </w:rPr>
  </w:style>
  <w:style w:type="character" w:styleId="fontstyle01">
    <w:name w:val="fontstyle01"/>
    <w:qFormat/>
    <w:rPr>
      <w:rFonts w:ascii="TimesNewRomanPSMT;Times New Roman" w:hAnsi="TimesNewRomanPSMT;Times New Roman" w:cs="TimesNewRomanPSMT;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fontstyle31">
    <w:name w:val="fontstyle31"/>
    <w:qFormat/>
    <w:rPr>
      <w:rFonts w:ascii="TimesNewRomanPSMT;Times New Roman" w:hAnsi="TimesNewRomanPSMT;Times New Roman" w:cs="Times New Roman"/>
      <w:color w:val="000000"/>
      <w:sz w:val="24"/>
      <w:szCs w:val="24"/>
    </w:rPr>
  </w:style>
  <w:style w:type="character" w:styleId="2">
    <w:name w:val="Основной текст (2)_"/>
    <w:qFormat/>
    <w:rPr>
      <w:rFonts w:ascii="Times New Roman" w:hAnsi="Times New Roman" w:eastAsia="Times New Roman" w:cs="Times New Roman"/>
      <w:color w:val="1E1C1F"/>
    </w:rPr>
  </w:style>
  <w:style w:type="character" w:styleId="Strong">
    <w:name w:val="Strong"/>
    <w:qFormat/>
    <w:rPr>
      <w:rFonts w:cs="Times New Roman"/>
      <w:b/>
    </w:rPr>
  </w:style>
  <w:style w:type="character" w:styleId="Style18">
    <w:name w:val="Основной текст_"/>
    <w:qFormat/>
    <w:rPr>
      <w:rFonts w:ascii="Times New Roman" w:hAnsi="Times New Roman" w:eastAsia="Times New Roman" w:cs="Times New Roman"/>
      <w:color w:val="2E2D2E"/>
      <w:sz w:val="28"/>
      <w:szCs w:val="28"/>
    </w:rPr>
  </w:style>
  <w:style w:type="paragraph" w:styleId="Heading">
    <w:name w:val="Heading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ind w:firstLine="360" w:start="0" w:end="0"/>
      <w:contextualSpacing/>
    </w:pPr>
    <w:rPr>
      <w:rFonts w:ascii="Arial" w:hAnsi="Arial" w:eastAsia="Times New Roman" w:cs="Arial"/>
      <w:color w:val="17365D"/>
      <w:spacing w:val="5"/>
      <w:kern w:val="2"/>
      <w:sz w:val="52"/>
      <w:szCs w:val="52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Style19">
    <w:name w:val="Абзац списка"/>
    <w:basedOn w:val="Normal"/>
    <w:qFormat/>
    <w:pPr>
      <w:spacing w:lineRule="auto" w:line="240" w:before="0" w:after="0"/>
      <w:ind w:firstLine="360" w:start="720" w:end="0"/>
      <w:contextualSpacing/>
    </w:pPr>
    <w:rPr>
      <w:rFonts w:ascii="Times New Roman" w:hAnsi="Times New Roman" w:eastAsia="Times New Roman" w:cs="Calibri"/>
      <w:sz w:val="28"/>
    </w:rPr>
  </w:style>
  <w:style w:type="paragraph" w:styleId="msonormalmrcssattr">
    <w:name w:val="msonormal_mr_css_attr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>
    <w:name w:val="Основной текст (2)"/>
    <w:basedOn w:val="Normal"/>
    <w:qFormat/>
    <w:pPr>
      <w:widowControl w:val="false"/>
      <w:spacing w:lineRule="auto" w:line="293" w:before="0" w:after="260"/>
      <w:ind w:hanging="0" w:start="780" w:end="0"/>
    </w:pPr>
    <w:rPr>
      <w:rFonts w:ascii="Times New Roman" w:hAnsi="Times New Roman" w:eastAsia="Times New Roman" w:cs="Times New Roman"/>
      <w:color w:val="1E1C1F"/>
      <w:sz w:val="20"/>
      <w:szCs w:val="20"/>
    </w:rPr>
  </w:style>
  <w:style w:type="paragraph" w:styleId="Style20">
    <w:name w:val="Обычный (Интернет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1">
    <w:name w:val="Основной текст1"/>
    <w:basedOn w:val="Normal"/>
    <w:qFormat/>
    <w:pPr>
      <w:widowControl w:val="false"/>
      <w:spacing w:lineRule="auto" w:line="286" w:before="0" w:after="360"/>
    </w:pPr>
    <w:rPr>
      <w:rFonts w:ascii="Times New Roman" w:hAnsi="Times New Roman" w:eastAsia="Times New Roman" w:cs="Times New Roman"/>
      <w:color w:val="2E2D2E"/>
      <w:sz w:val="28"/>
      <w:szCs w:val="2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</w:styles>
</file>

<file path=word/_rels/document.xml.rels><?xml version='1.0' encoding='UTF-8' standalone='yes'?>
<Relationships xmlns="http://schemas.openxmlformats.org/package/2006/relationships"><Relationship Id="rId21" Type="http://schemas.openxmlformats.org/officeDocument/2006/relationships/footer" Target="footer1.xm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2026-04-08T14:29:00Z</dcterms:created>
  <dc:creator>123</dc:creator>
  <dc:description/>
  <cp:keywords/>
  <dc:language>ru-RU</dc:language>
  <cp:lastModifiedBy>Пользователь</cp:lastModifiedBy>
  <cp:lastPrinted>2024-02-19T11:13:00Z</cp:lastPrinted>
  <dcterms:modified xsi:type="dcterms:W3CDTF">2026-04-08T15:50:00Z</dcterms:modified>
  <cp:revision>5</cp:revision>
  <dc:subject/>
  <dc:title/>
</cp:coreProperties>
</file>