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uto" w:line="240" w:before="280" w:after="280"/>
        <w:jc w:val="center"/>
        <w:rPr/>
      </w:pPr>
      <w:r>
        <w:rPr>
          <w:rFonts w:eastAsia="Times New Roman" w:cs="Times New Roman" w:ascii="Times New Roman" w:hAnsi="Times New Roman"/>
          <w:b/>
          <w:bCs/>
          <w:color w:val="2C2D2E"/>
          <w:sz w:val="28"/>
          <w:szCs w:val="28"/>
          <w:lang w:eastAsia="ru-RU"/>
        </w:rPr>
        <w:t xml:space="preserve">Отчет о работе комиссии по международной деятельности ЦС </w:t>
        <w:br/>
        <w:t>Всероссийского профсоюза работников РАН в 2025 г.</w:t>
      </w:r>
    </w:p>
    <w:p>
      <w:pPr>
        <w:pStyle w:val="Normal"/>
        <w:spacing w:lineRule="auto" w:line="240"/>
        <w:ind w:firstLine="300" w:end="0"/>
        <w:jc w:val="both"/>
        <w:rPr/>
      </w:pPr>
      <w:r>
        <w:rPr>
          <w:rFonts w:cs="Times New Roman" w:ascii="Times New Roman" w:hAnsi="Times New Roman"/>
          <w:bCs/>
          <w:sz w:val="28"/>
          <w:szCs w:val="28"/>
        </w:rPr>
        <w:t xml:space="preserve">Прошедший 2025 г по взаимодействию нашего Профсоюза с ВФНР был похож на предшествовавшие четыре года. Профсоюз работников РАН по инерции продолжал номинальное членство во Всемирной федерации научных работников (ВФНР). Более того три наших представителя до сих пор являются членами ряда рабочих групп Федерации, В.Вдовин —вице-президент федерации, Е.Харитонова — член исполкома, а Б.Кашин -член финансового комитета. Формально же после 2019 г., прекрати в уплату взносов (2-3 тысячи евро в год) мы заморозили свое членство. Сама федерация испытывает как финансовые затруднения, так и иные внешние и внутренние проблемы. </w:t>
      </w:r>
    </w:p>
    <w:p>
      <w:pPr>
        <w:pStyle w:val="Normal"/>
        <w:spacing w:lineRule="auto" w:line="240"/>
        <w:ind w:firstLine="300" w:end="0"/>
        <w:jc w:val="both"/>
        <w:rPr/>
      </w:pPr>
      <w:r>
        <w:rPr>
          <w:rFonts w:cs="Times New Roman" w:ascii="Times New Roman" w:hAnsi="Times New Roman"/>
          <w:bCs/>
          <w:sz w:val="28"/>
          <w:szCs w:val="28"/>
        </w:rPr>
        <w:t>Однако, она сохраняет свою активность. Ежемесячно проводятся заседания Международного секретариата (с участием вице—президентов), 1-2 раза в год — заседания Исполкома.</w:t>
      </w:r>
    </w:p>
    <w:p>
      <w:pPr>
        <w:pStyle w:val="Normal"/>
        <w:spacing w:lineRule="auto" w:line="240"/>
        <w:jc w:val="both"/>
        <w:rPr/>
      </w:pPr>
      <w:r>
        <w:rPr>
          <w:rFonts w:cs="Times New Roman" w:ascii="Times New Roman" w:hAnsi="Times New Roman"/>
          <w:bCs/>
          <w:sz w:val="28"/>
          <w:szCs w:val="28"/>
        </w:rPr>
        <w:t xml:space="preserve">    </w:t>
      </w:r>
      <w:r>
        <w:rPr>
          <w:rFonts w:cs="Times New Roman" w:ascii="Times New Roman" w:hAnsi="Times New Roman"/>
          <w:bCs/>
          <w:sz w:val="28"/>
          <w:szCs w:val="28"/>
        </w:rPr>
        <w:t>Приближается юбилейный сотый год начиная от первого, когда при активное участии советских ученых и мирового научного сообщества под руководством Ф.Жолио-Кюри организация была создана.</w:t>
      </w:r>
    </w:p>
    <w:p>
      <w:pPr>
        <w:pStyle w:val="Normal"/>
        <w:spacing w:lineRule="auto" w:line="240"/>
        <w:jc w:val="both"/>
        <w:rPr/>
      </w:pPr>
      <w:r>
        <w:rPr>
          <w:rFonts w:cs="Times New Roman" w:ascii="Times New Roman" w:hAnsi="Times New Roman"/>
          <w:bCs/>
          <w:sz w:val="28"/>
          <w:szCs w:val="28"/>
        </w:rPr>
        <w:t xml:space="preserve">    </w:t>
      </w:r>
      <w:r>
        <w:rPr>
          <w:rFonts w:cs="Times New Roman" w:ascii="Times New Roman" w:hAnsi="Times New Roman"/>
          <w:bCs/>
          <w:sz w:val="28"/>
          <w:szCs w:val="28"/>
        </w:rPr>
        <w:t>В 2026 году в Мехико предполагается проведение очередной Генассамблеи.</w:t>
      </w:r>
    </w:p>
    <w:p>
      <w:pPr>
        <w:pStyle w:val="Normal"/>
        <w:spacing w:lineRule="auto" w:line="240"/>
        <w:jc w:val="both"/>
        <w:rPr/>
      </w:pPr>
      <w:r>
        <w:rPr>
          <w:rFonts w:cs="Times New Roman" w:ascii="Times New Roman" w:hAnsi="Times New Roman"/>
          <w:bCs/>
          <w:sz w:val="28"/>
          <w:szCs w:val="28"/>
        </w:rPr>
        <w:t xml:space="preserve">    </w:t>
      </w:r>
      <w:r>
        <w:rPr>
          <w:rFonts w:cs="Times New Roman" w:ascii="Times New Roman" w:hAnsi="Times New Roman"/>
          <w:bCs/>
          <w:sz w:val="28"/>
          <w:szCs w:val="28"/>
        </w:rPr>
        <w:t>Есть опасения, что если мы не пришлем делегацию и не оплатим взносы, наше членство прекратиться, что представляется достойным сожаления. Это не только активная точка сильно разобщенного международного научного сообщества, отстаивающая интересы ученых, но и придерживающаяся по всем принципиальным позициям весьма пророссийской позиции. В частности, в конце 2022 года, когда отношение к россиянам было, мягко говоря, недружественное, в т.ч. в научном сообществе, организация без единого голоса против и воздержавшихся в рамках тайного голосования избрала россиян в руководство федерации</w:t>
      </w:r>
    </w:p>
    <w:p>
      <w:pPr>
        <w:pStyle w:val="Normal"/>
        <w:spacing w:lineRule="auto" w:line="240"/>
        <w:jc w:val="both"/>
        <w:rPr/>
      </w:pPr>
      <w:r>
        <w:rPr>
          <w:rFonts w:cs="Times New Roman" w:ascii="Times New Roman" w:hAnsi="Times New Roman"/>
          <w:bCs/>
          <w:sz w:val="28"/>
          <w:szCs w:val="28"/>
        </w:rPr>
        <w:t xml:space="preserve">    </w:t>
      </w:r>
      <w:r>
        <w:rPr>
          <w:rFonts w:cs="Times New Roman" w:ascii="Times New Roman" w:hAnsi="Times New Roman"/>
          <w:bCs/>
          <w:sz w:val="28"/>
          <w:szCs w:val="28"/>
        </w:rPr>
        <w:t>В комиссии имеются обширные материалы упомянутых мероприятий ВФНР, и их же можно посмотреть на сайте ВФНР lзttps://fmts-wfsw.org/</w:t>
      </w:r>
    </w:p>
    <w:p>
      <w:pPr>
        <w:pStyle w:val="Normal"/>
        <w:spacing w:lineRule="auto" w:line="240"/>
        <w:jc w:val="both"/>
        <w:rPr>
          <w:rFonts w:ascii="Times New Roman" w:hAnsi="Times New Roman" w:cs="Times New Roman"/>
          <w:b/>
          <w:bCs/>
          <w:sz w:val="28"/>
          <w:szCs w:val="28"/>
        </w:rPr>
      </w:pPr>
      <w:r>
        <w:rPr>
          <w:rFonts w:cs="Times New Roman" w:ascii="Times New Roman" w:hAnsi="Times New Roman"/>
          <w:bCs/>
          <w:sz w:val="28"/>
          <w:szCs w:val="28"/>
        </w:rPr>
        <w:t xml:space="preserve">     </w:t>
      </w:r>
      <w:r>
        <w:rPr>
          <w:rFonts w:cs="Times New Roman" w:ascii="Times New Roman" w:hAnsi="Times New Roman"/>
          <w:bCs/>
          <w:sz w:val="28"/>
          <w:szCs w:val="28"/>
        </w:rPr>
        <w:t xml:space="preserve">Помимо ВФНР профсоюз продолжал развитие </w:t>
      </w:r>
      <w:r>
        <w:rPr>
          <w:rFonts w:cs="Times New Roman" w:ascii="Times New Roman" w:hAnsi="Times New Roman"/>
          <w:b/>
          <w:bCs/>
          <w:sz w:val="28"/>
          <w:szCs w:val="28"/>
        </w:rPr>
        <w:t>двухсторонних контактов.</w:t>
      </w:r>
    </w:p>
    <w:p>
      <w:pPr>
        <w:pStyle w:val="Normal"/>
        <w:spacing w:lineRule="auto" w:line="240"/>
        <w:jc w:val="both"/>
        <w:rPr/>
      </w:pPr>
      <w:r>
        <w:rPr>
          <w:rFonts w:cs="Times New Roman" w:ascii="Times New Roman" w:hAnsi="Times New Roman"/>
          <w:bCs/>
          <w:sz w:val="28"/>
          <w:szCs w:val="28"/>
        </w:rPr>
        <w:t xml:space="preserve">     </w:t>
      </w:r>
      <w:r>
        <w:rPr>
          <w:rFonts w:cs="Times New Roman" w:ascii="Times New Roman" w:hAnsi="Times New Roman"/>
          <w:bCs/>
          <w:sz w:val="28"/>
          <w:szCs w:val="28"/>
        </w:rPr>
        <w:t xml:space="preserve">Продолжает развиваться сотрудничество с нашими традиционными партнерами и друзьями из Белоруссии. Прошедший год характеризовался регулярным взаимодействием между руководителями дружественных организаций. С российской стороны новости доводились через газету «Научное сообщество», которая отправлялась по почте, с белорусской стороны новости доводились с помощью телефонной связи и по электронной почте. В течении года проводился тесный рабочий контакт между руководителями организаций. Велась постоянная работа по подготовке текста по </w:t>
      </w:r>
      <w:r>
        <w:rPr>
          <w:rFonts w:cs="Times New Roman" w:ascii="Times New Roman" w:hAnsi="Times New Roman"/>
          <w:b/>
          <w:bCs/>
          <w:sz w:val="28"/>
          <w:szCs w:val="28"/>
        </w:rPr>
        <w:t>«СОГЛАШЕНИЮ о сотрудничестве между Объединенной отраслевой профсоюзной организацией работников Национальной Академии наук БЕЛАРУСИ Белорусского профсоюза работников Образования и науки и Всероссийского профсоюза работников Российской академии наук»,</w:t>
      </w:r>
      <w:r>
        <w:rPr>
          <w:rFonts w:cs="Times New Roman" w:ascii="Times New Roman" w:hAnsi="Times New Roman"/>
          <w:bCs/>
          <w:sz w:val="28"/>
          <w:szCs w:val="28"/>
        </w:rPr>
        <w:t xml:space="preserve"> которое планируется к подписанию на заседании ЦС ПР РАН в г. Москве в апреле 2026 г.</w:t>
      </w:r>
    </w:p>
    <w:p>
      <w:pPr>
        <w:pStyle w:val="Normal"/>
        <w:spacing w:lineRule="auto" w:line="240"/>
        <w:jc w:val="both"/>
        <w:rPr>
          <w:rFonts w:ascii="Times New Roman" w:hAnsi="Times New Roman" w:cs="Times New Roman"/>
          <w:bCs/>
          <w:sz w:val="28"/>
          <w:szCs w:val="28"/>
        </w:rPr>
      </w:pPr>
      <w:r>
        <w:rPr>
          <w:rFonts w:cs="Times New Roman" w:ascii="Times New Roman" w:hAnsi="Times New Roman"/>
          <w:bCs/>
          <w:sz w:val="28"/>
          <w:szCs w:val="28"/>
        </w:rPr>
        <w:t xml:space="preserve">    </w:t>
      </w:r>
      <w:r>
        <w:rPr>
          <w:rFonts w:cs="Times New Roman" w:ascii="Times New Roman" w:hAnsi="Times New Roman"/>
          <w:bCs/>
          <w:sz w:val="28"/>
          <w:szCs w:val="28"/>
        </w:rPr>
        <w:t xml:space="preserve">В 2025 году были установлены доверительные отношения с Обществом российско-китайской дружбы (ОРКД). На торжественном осеннем собрании приуроченному к годовщине образования Китайской Народной Республики присутствовала Киселева Е.А. Во время собрания прошли переговоры между Руководителем аппарата Профсоюза работников РАН, членом комиссии по международной деятельности Еленой Александровной Киселевой и Первым заместителем Общества российско-китайской дружбы Галиной Вениаминовной Куликовой. Обсуждалось взаимодействие между двумя общественными организациями, в рамках укрепления традиционной дружбы между Китаем и Россией и налаживанию деловых связей между общественными организациями. В частности с ACFTU — Всекитайской федерацией профсоюзов, с Профсоюзом работников Китайской Академии Наук (CAS) и обговорены дальнейшие планы о сотрудничестве. </w:t>
      </w:r>
    </w:p>
    <w:p>
      <w:pPr>
        <w:pStyle w:val="Normal"/>
        <w:rPr/>
      </w:pPr>
      <w:r>
        <w:rPr>
          <w:rFonts w:cs="Times New Roman" w:ascii="Times New Roman" w:hAnsi="Times New Roman"/>
          <w:i/>
          <w:iCs/>
          <w:sz w:val="28"/>
          <w:szCs w:val="28"/>
        </w:rPr>
        <w:t>Председатель комиссии по международной деятельности ЦС Профсоюза работников РАН                                                                                                                         В.А. Юркин</w:t>
      </w:r>
    </w:p>
    <w:sectPr>
      <w:footerReference w:type="default" r:id="rId21"/>
      <w:footerReference w:type="first" r:id="rId22"/>
      <w:type w:val="nextPage"/>
      <w:pgSz w:w="11906" w:h="16838"/>
      <w:pgMar w:left="1701" w:right="850" w:gutter="0" w:header="0" w:top="567" w:footer="0" w:bottom="709"/>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cc"/>
    <w:family w:val="swiss"/>
    <w:pitch w:val="variable"/>
  </w:font>
  <w:font w:name="Wingdings">
    <w:charset w:val="02"/>
    <w:family w:val="auto"/>
    <w:pitch w:val="variable"/>
  </w:font>
  <w:font w:name="Courier New">
    <w:charset w:val="cc"/>
    <w:family w:val="modern"/>
    <w:pitch w:val="default"/>
  </w:font>
  <w:font w:name="Times New Roman">
    <w:charset w:val="cc"/>
    <w:family w:val="roman"/>
    <w:pitch w:val="variable"/>
  </w:font>
  <w:font w:name="Arial">
    <w:charset w:val="cc"/>
    <w:family w:val="swiss"/>
    <w:pitch w:val="variable"/>
  </w:font>
  <w:font w:name="TimesNewRomanPSMT">
    <w:altName w:val="Times New Roman"/>
    <w:charset w:val="00"/>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43</w:t>
    </w:r>
    <w:r>
      <w:rPr/>
      <w:fldChar w:fldCharType="end"/>
    </w:r>
  </w:p>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Wingdings" w:hAnsi="Wingdings" w:cs="Wingdings" w:hint="default"/>
        <w:b/>
      </w:rPr>
    </w:lvl>
  </w:abstractNum>
  <w:abstractNum w:abstractNumId="3">
    <w:lvl w:ilvl="0">
      <w:start w:val="1"/>
      <w:numFmt w:val="decimal"/>
      <w:lvlText w:val="%1."/>
      <w:lvlJc w:val="start"/>
      <w:pPr>
        <w:tabs>
          <w:tab w:val="num" w:pos="0"/>
        </w:tabs>
        <w:ind w:start="720" w:hanging="360"/>
      </w:pPr>
      <w:rPr>
        <w:rFonts w:ascii="Calibri" w:hAnsi="Calibri" w:cs="Calibri"/>
        <w:sz w:val="22"/>
      </w:rPr>
    </w:lvl>
  </w:abstractNum>
  <w:abstractNum w:abstractNumId="4">
    <w:lvl w:ilvl="0">
      <w:start w:val="1"/>
      <w:numFmt w:val="decimal"/>
      <w:lvlText w:val="%1."/>
      <w:lvlJc w:val="start"/>
      <w:pPr>
        <w:tabs>
          <w:tab w:val="num" w:pos="0"/>
        </w:tabs>
        <w:ind w:start="720" w:hanging="360"/>
      </w:pPr>
      <w:rPr>
        <w:rFonts w:ascii="Calibri" w:hAnsi="Calibri" w:cs="Calibri"/>
        <w:sz w:val="22"/>
      </w:rPr>
    </w:lvl>
  </w:abstractNum>
  <w:abstractNum w:abstractNumId="5">
    <w:lvl w:ilvl="0">
      <w:start w:val="1"/>
      <w:numFmt w:val="decimal"/>
      <w:lvlText w:val="%1."/>
      <w:lvlJc w:val="start"/>
      <w:pPr>
        <w:tabs>
          <w:tab w:val="num" w:pos="0"/>
        </w:tabs>
        <w:ind w:start="720" w:hanging="360"/>
      </w:pPr>
      <w:rPr>
        <w:rFonts w:ascii="Calibri" w:hAnsi="Calibri" w:cs="Calibri"/>
        <w:sz w:val="22"/>
      </w:rPr>
    </w:lvl>
  </w:abstractNum>
  <w:abstractNum w:abstractNumId="6">
    <w:lvl w:ilvl="0">
      <w:start w:val="1"/>
      <w:numFmt w:val="decimal"/>
      <w:lvlText w:val="%1."/>
      <w:lvlJc w:val="start"/>
      <w:pPr>
        <w:tabs>
          <w:tab w:val="num" w:pos="0"/>
        </w:tabs>
        <w:ind w:start="720" w:hanging="360"/>
      </w:pPr>
      <w:rPr>
        <w:rFonts w:cs="Times New Roman"/>
        <w:b/>
      </w:rPr>
    </w:lvl>
  </w:abstractNum>
  <w:abstractNum w:abstractNumId="7">
    <w:lvl w:ilvl="0">
      <w:start w:val="1"/>
      <w:numFmt w:val="bullet"/>
      <w:lvlText w:val=""/>
      <w:lvlJc w:val="start"/>
      <w:pPr>
        <w:tabs>
          <w:tab w:val="num" w:pos="0"/>
        </w:tabs>
        <w:ind w:start="72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abstractNum>
  <w:abstractNum w:abstractNumId="11">
    <w:lvl w:ilvl="0">
      <w:start w:val="1"/>
      <w:numFmt w:val="decimal"/>
      <w:lvlText w:val="%1."/>
      <w:lvlJc w:val="start"/>
      <w:pPr>
        <w:tabs>
          <w:tab w:val="num" w:pos="0"/>
        </w:tabs>
        <w:ind w:start="1647" w:hanging="360"/>
      </w:pPr>
    </w:lvl>
  </w:abstractNum>
  <w:abstractNum w:abstractNumId="12">
    <w:lvl w:ilvl="0">
      <w:start w:val="1"/>
      <w:numFmt w:val="decimal"/>
      <w:lvlText w:val="%1."/>
      <w:lvlJc w:val="start"/>
      <w:pPr>
        <w:tabs>
          <w:tab w:val="num" w:pos="0"/>
        </w:tabs>
        <w:ind w:start="427" w:hanging="360"/>
      </w:pPr>
      <w:rPr>
        <w:b w:val="false"/>
        <w:i w:val="false"/>
        <w:spacing w:val="0"/>
        <w:w w:val="100"/>
        <w:lang w:bidi="ar-SA"/>
      </w:rPr>
    </w:lvl>
    <w:lvl w:ilvl="1">
      <w:start w:val="0"/>
      <w:numFmt w:val="bullet"/>
      <w:lvlText w:val="-"/>
      <w:lvlJc w:val="start"/>
      <w:pPr>
        <w:tabs>
          <w:tab w:val="num" w:pos="0"/>
        </w:tabs>
        <w:ind w:start="566" w:hanging="140"/>
      </w:pPr>
      <w:rPr>
        <w:rFonts w:ascii="Times New Roman" w:hAnsi="Times New Roman" w:cs="Times New Roman" w:hint="default"/>
        <w:spacing w:val="0"/>
        <w:w w:val="100"/>
        <w:lang w:bidi="ar-SA"/>
      </w:rPr>
    </w:lvl>
    <w:lvl w:ilvl="2">
      <w:start w:val="0"/>
      <w:numFmt w:val="bullet"/>
      <w:lvlText w:val="•"/>
      <w:lvlJc w:val="start"/>
      <w:pPr>
        <w:tabs>
          <w:tab w:val="num" w:pos="0"/>
        </w:tabs>
        <w:ind w:start="1600" w:hanging="140"/>
      </w:pPr>
      <w:rPr>
        <w:rFonts w:ascii="Liberation Serif" w:hAnsi="Liberation Serif" w:cs="Liberation Serif" w:hint="default"/>
        <w:lang w:bidi="ar-SA"/>
      </w:rPr>
    </w:lvl>
    <w:lvl w:ilvl="3">
      <w:start w:val="0"/>
      <w:numFmt w:val="bullet"/>
      <w:lvlText w:val="•"/>
      <w:lvlJc w:val="start"/>
      <w:pPr>
        <w:tabs>
          <w:tab w:val="num" w:pos="0"/>
        </w:tabs>
        <w:ind w:start="2640" w:hanging="140"/>
      </w:pPr>
      <w:rPr>
        <w:rFonts w:ascii="Liberation Serif" w:hAnsi="Liberation Serif" w:cs="Liberation Serif" w:hint="default"/>
        <w:lang w:bidi="ar-SA"/>
      </w:rPr>
    </w:lvl>
    <w:lvl w:ilvl="4">
      <w:start w:val="0"/>
      <w:numFmt w:val="bullet"/>
      <w:lvlText w:val="•"/>
      <w:lvlJc w:val="start"/>
      <w:pPr>
        <w:tabs>
          <w:tab w:val="num" w:pos="0"/>
        </w:tabs>
        <w:ind w:start="3681" w:hanging="140"/>
      </w:pPr>
      <w:rPr>
        <w:rFonts w:ascii="Liberation Serif" w:hAnsi="Liberation Serif" w:cs="Liberation Serif" w:hint="default"/>
        <w:lang w:bidi="ar-SA"/>
      </w:rPr>
    </w:lvl>
    <w:lvl w:ilvl="5">
      <w:start w:val="0"/>
      <w:numFmt w:val="bullet"/>
      <w:lvlText w:val="•"/>
      <w:lvlJc w:val="start"/>
      <w:pPr>
        <w:tabs>
          <w:tab w:val="num" w:pos="0"/>
        </w:tabs>
        <w:ind w:start="4721" w:hanging="140"/>
      </w:pPr>
      <w:rPr>
        <w:rFonts w:ascii="Liberation Serif" w:hAnsi="Liberation Serif" w:cs="Liberation Serif" w:hint="default"/>
        <w:lang w:bidi="ar-SA"/>
      </w:rPr>
    </w:lvl>
    <w:lvl w:ilvl="6">
      <w:start w:val="0"/>
      <w:numFmt w:val="bullet"/>
      <w:lvlText w:val="•"/>
      <w:lvlJc w:val="start"/>
      <w:pPr>
        <w:tabs>
          <w:tab w:val="num" w:pos="0"/>
        </w:tabs>
        <w:ind w:start="5761" w:hanging="140"/>
      </w:pPr>
      <w:rPr>
        <w:rFonts w:ascii="Liberation Serif" w:hAnsi="Liberation Serif" w:cs="Liberation Serif" w:hint="default"/>
        <w:lang w:bidi="ar-SA"/>
      </w:rPr>
    </w:lvl>
    <w:lvl w:ilvl="7">
      <w:start w:val="0"/>
      <w:numFmt w:val="bullet"/>
      <w:lvlText w:val="•"/>
      <w:lvlJc w:val="start"/>
      <w:pPr>
        <w:tabs>
          <w:tab w:val="num" w:pos="0"/>
        </w:tabs>
        <w:ind w:start="6802" w:hanging="140"/>
      </w:pPr>
      <w:rPr>
        <w:rFonts w:ascii="Liberation Serif" w:hAnsi="Liberation Serif" w:cs="Liberation Serif" w:hint="default"/>
        <w:lang w:bidi="ar-SA"/>
      </w:rPr>
    </w:lvl>
    <w:lvl w:ilvl="8">
      <w:start w:val="0"/>
      <w:numFmt w:val="bullet"/>
      <w:lvlText w:val="•"/>
      <w:lvlJc w:val="start"/>
      <w:pPr>
        <w:tabs>
          <w:tab w:val="num" w:pos="0"/>
        </w:tabs>
        <w:ind w:start="7842" w:hanging="140"/>
      </w:pPr>
      <w:rPr>
        <w:rFonts w:ascii="Liberation Serif" w:hAnsi="Liberation Serif" w:cs="Liberation Serif" w:hint="default"/>
        <w:lang w:bidi="ar-SA"/>
      </w:rPr>
    </w:lvl>
  </w:abstractNum>
  <w:abstractNum w:abstractNumId="13">
    <w:lvl w:ilvl="0">
      <w:start w:val="1"/>
      <w:numFmt w:val="upperRoman"/>
      <w:lvlText w:val="%1."/>
      <w:lvlJc w:val="start"/>
      <w:pPr>
        <w:tabs>
          <w:tab w:val="num" w:pos="0"/>
        </w:tabs>
        <w:ind w:start="2138" w:hanging="720"/>
      </w:pPr>
      <w:rPr/>
    </w:lvl>
  </w:abstractNum>
  <w:abstractNum w:abstractNumId="14">
    <w:lvl w:ilvl="0">
      <w:start w:val="1"/>
      <w:numFmt w:val="bullet"/>
      <w:lvlText w:val=""/>
      <w:lvlJc w:val="start"/>
      <w:pPr>
        <w:tabs>
          <w:tab w:val="num" w:pos="0"/>
        </w:tabs>
        <w:ind w:start="720" w:hanging="360"/>
      </w:pPr>
      <w:rPr>
        <w:rFonts w:ascii="Wingdings" w:hAnsi="Wingdings" w:cs="Wingdings" w:hint="default"/>
      </w:rPr>
    </w:lvl>
  </w:abstractNum>
  <w:abstractNum w:abstractNumId="15">
    <w:lvl w:ilvl="0">
      <w:start w:val="1"/>
      <w:numFmt w:val="bullet"/>
      <w:lvlText w:val=""/>
      <w:lvlJc w:val="start"/>
      <w:pPr>
        <w:tabs>
          <w:tab w:val="num" w:pos="0"/>
        </w:tabs>
        <w:ind w:start="720"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Wingdings" w:hAnsi="Wingdings" w:cs="Wingdings" w:hint="default"/>
      </w:rPr>
    </w:lvl>
  </w:abstractNum>
  <w:abstractNum w:abstractNumId="1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ru-RU"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bidi="ar-SA" w:val="ru-RU" w:eastAsia="zh-CN"/>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Wingdings" w:hAnsi="Wingdings" w:cs="Wingdings"/>
      <w:b/>
    </w:rPr>
  </w:style>
  <w:style w:type="character" w:styleId="WW8Num2z1">
    <w:name w:val="WW8Num2z1"/>
    <w:qFormat/>
    <w:rPr>
      <w:rFonts w:cs="Times New Roman"/>
    </w:rPr>
  </w:style>
  <w:style w:type="character" w:styleId="WW8Num3z0">
    <w:name w:val="WW8Num3z0"/>
    <w:qFormat/>
    <w:rPr>
      <w:rFonts w:ascii="Calibri" w:hAnsi="Calibri" w:cs="Calibri"/>
      <w:sz w:val="22"/>
    </w:rPr>
  </w:style>
  <w:style w:type="character" w:styleId="WW8Num4z0">
    <w:name w:val="WW8Num4z0"/>
    <w:qFormat/>
    <w:rPr>
      <w:rFonts w:ascii="Calibri" w:hAnsi="Calibri" w:cs="Calibri"/>
      <w:sz w:val="22"/>
    </w:rPr>
  </w:style>
  <w:style w:type="character" w:styleId="WW8Num5z0">
    <w:name w:val="WW8Num5z0"/>
    <w:qFormat/>
    <w:rPr>
      <w:rFonts w:ascii="Calibri" w:hAnsi="Calibri" w:cs="Calibri"/>
      <w:sz w:val="22"/>
    </w:rPr>
  </w:style>
  <w:style w:type="character" w:styleId="WW8Num6z0">
    <w:name w:val="WW8Num6z0"/>
    <w:qFormat/>
    <w:rPr>
      <w:sz w:val="24"/>
      <w:szCs w:val="24"/>
    </w:rPr>
  </w:style>
  <w:style w:type="character" w:styleId="WW8Num7z0">
    <w:name w:val="WW8Num7z0"/>
    <w:qFormat/>
    <w:rPr>
      <w:rFonts w:cs="Times New Roman"/>
      <w:b/>
    </w:rPr>
  </w:style>
  <w:style w:type="character" w:styleId="WW8Num7z1">
    <w:name w:val="WW8Num7z1"/>
    <w:qFormat/>
    <w:rPr>
      <w:rFonts w:cs="Times New Roman"/>
    </w:rPr>
  </w:style>
  <w:style w:type="character" w:styleId="WW8Num8z0">
    <w:name w:val="WW8Num8z0"/>
    <w:qFormat/>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Calibri" w:hAnsi="Calibri" w:cs="Calibri"/>
    </w:rPr>
  </w:style>
  <w:style w:type="character" w:styleId="WW8Num11z0">
    <w:name w:val="WW8Num11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Times New Roman" w:hAnsi="Times New Roman" w:eastAsia="Times New Roman" w:cs="Times New Roman"/>
    </w:rPr>
  </w:style>
  <w:style w:type="character" w:styleId="WW8Num14z1">
    <w:name w:val="WW8Num14z1"/>
    <w:qFormat/>
    <w:rPr>
      <w:rFonts w:ascii="Calibri" w:hAnsi="Calibri" w:cs="Calibri"/>
    </w:rPr>
  </w:style>
  <w:style w:type="character" w:styleId="WW8Num15z0">
    <w:name w:val="WW8Num15z0"/>
    <w:qFormat/>
    <w:rPr>
      <w:rFonts w:ascii="Wingdings" w:hAnsi="Wingdings" w:cs="Wingdings"/>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Wingdings" w:hAnsi="Wingdings" w:cs="Wingdings"/>
    </w:rPr>
  </w:style>
  <w:style w:type="character" w:styleId="WW8Num16z1">
    <w:name w:val="WW8Num16z1"/>
    <w:qFormat/>
    <w:rPr>
      <w:rFonts w:ascii="Courier New" w:hAnsi="Courier New" w:cs="Courier New"/>
    </w:rPr>
  </w:style>
  <w:style w:type="character" w:styleId="WW8Num16z3">
    <w:name w:val="WW8Num16z3"/>
    <w:qFormat/>
    <w:rPr>
      <w:rFonts w:ascii="Symbol" w:hAnsi="Symbol" w:cs="Symbol"/>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style>
  <w:style w:type="character" w:styleId="WW8Num19z0">
    <w:name w:val="WW8Num19z0"/>
    <w:qFormat/>
    <w:rPr/>
  </w:style>
  <w:style w:type="character" w:styleId="WW8Num21z0">
    <w:name w:val="WW8Num21z0"/>
    <w:qFormat/>
    <w:rPr>
      <w:b w:val="false"/>
      <w:i w:val="false"/>
      <w:spacing w:val="0"/>
      <w:w w:val="100"/>
      <w:lang w:bidi="ar-SA"/>
    </w:rPr>
  </w:style>
  <w:style w:type="character" w:styleId="WW8Num21z1">
    <w:name w:val="WW8Num21z1"/>
    <w:qFormat/>
    <w:rPr>
      <w:rFonts w:ascii="Times New Roman" w:hAnsi="Times New Roman" w:eastAsia="Times New Roman" w:cs="Times New Roman"/>
      <w:spacing w:val="0"/>
      <w:w w:val="100"/>
      <w:lang w:bidi="ar-SA"/>
    </w:rPr>
  </w:style>
  <w:style w:type="character" w:styleId="WW8Num21z2">
    <w:name w:val="WW8Num21z2"/>
    <w:qFormat/>
    <w:rPr>
      <w:lang w:bidi="ar-SA"/>
    </w:rPr>
  </w:style>
  <w:style w:type="character" w:styleId="WW8Num22z0">
    <w:name w:val="WW8Num22z0"/>
    <w:qFormat/>
    <w:rPr/>
  </w:style>
  <w:style w:type="character" w:styleId="WW8Num23z0">
    <w:name w:val="WW8Num23z0"/>
    <w:qFormat/>
    <w:rPr/>
  </w:style>
  <w:style w:type="character" w:styleId="WW8Num24z0">
    <w:name w:val="WW8Num24z0"/>
    <w:qFormat/>
    <w:rPr>
      <w:rFonts w:ascii="Wingdings" w:hAnsi="Wingdings" w:cs="Wingdings"/>
    </w:rPr>
  </w:style>
  <w:style w:type="character" w:styleId="WW8Num24z1">
    <w:name w:val="WW8Num24z1"/>
    <w:qFormat/>
    <w:rPr>
      <w:rFonts w:ascii="Courier New" w:hAnsi="Courier New" w:cs="Courier New"/>
    </w:rPr>
  </w:style>
  <w:style w:type="character" w:styleId="WW8Num24z3">
    <w:name w:val="WW8Num24z3"/>
    <w:qFormat/>
    <w:rPr>
      <w:rFonts w:ascii="Symbol" w:hAnsi="Symbol" w:cs="Symbol"/>
    </w:rPr>
  </w:style>
  <w:style w:type="character" w:styleId="WW8Num25z0">
    <w:name w:val="WW8Num25z0"/>
    <w:qFormat/>
    <w:rPr>
      <w:rFonts w:ascii="Wingdings" w:hAnsi="Wingdings" w:cs="Wingdings"/>
    </w:rPr>
  </w:style>
  <w:style w:type="character" w:styleId="WW8Num25z1">
    <w:name w:val="WW8Num25z1"/>
    <w:qFormat/>
    <w:rPr>
      <w:rFonts w:ascii="Courier New" w:hAnsi="Courier New" w:cs="Courier New"/>
    </w:rPr>
  </w:style>
  <w:style w:type="character" w:styleId="WW8Num25z3">
    <w:name w:val="WW8Num25z3"/>
    <w:qFormat/>
    <w:rPr>
      <w:rFonts w:ascii="Symbol" w:hAnsi="Symbol" w:cs="Symbol"/>
    </w:rPr>
  </w:style>
  <w:style w:type="character" w:styleId="WW8Num26z0">
    <w:name w:val="WW8Num26z0"/>
    <w:qFormat/>
    <w:rPr>
      <w:rFonts w:ascii="Wingdings" w:hAnsi="Wingdings" w:cs="Wingdings"/>
    </w:rPr>
  </w:style>
  <w:style w:type="character" w:styleId="WW8Num26z1">
    <w:name w:val="WW8Num26z1"/>
    <w:qFormat/>
    <w:rPr>
      <w:rFonts w:ascii="Courier New" w:hAnsi="Courier New" w:cs="Courier New"/>
    </w:rPr>
  </w:style>
  <w:style w:type="character" w:styleId="WW8Num26z3">
    <w:name w:val="WW8Num26z3"/>
    <w:qFormat/>
    <w:rPr>
      <w:rFonts w:ascii="Symbol" w:hAnsi="Symbol" w:cs="Symbol"/>
    </w:rPr>
  </w:style>
  <w:style w:type="character" w:styleId="WW8Num27z0">
    <w:name w:val="WW8Num27z0"/>
    <w:qFormat/>
    <w:rPr>
      <w:rFonts w:cs="Times New Roman"/>
    </w:rPr>
  </w:style>
  <w:style w:type="character" w:styleId="WW8Num27z1">
    <w:name w:val="WW8Num27z1"/>
    <w:qFormat/>
    <w:rPr>
      <w:rFonts w:cs="Times New Roman"/>
    </w:rPr>
  </w:style>
  <w:style w:type="character" w:styleId="WW8Num28z0">
    <w:name w:val="WW8Num28z0"/>
    <w:qFormat/>
    <w:rPr/>
  </w:style>
  <w:style w:type="character" w:styleId="WW8Num29z0">
    <w:name w:val="WW8Num29z0"/>
    <w:qFormat/>
    <w:rPr/>
  </w:style>
  <w:style w:type="character" w:styleId="WW8Num30z0">
    <w:name w:val="WW8Num30z0"/>
    <w:qFormat/>
    <w:rPr>
      <w:b w:val="false"/>
      <w:bCs/>
    </w:rPr>
  </w:style>
  <w:style w:type="character" w:styleId="Style14">
    <w:name w:val="Основной шрифт абзаца"/>
    <w:qFormat/>
    <w:rPr/>
  </w:style>
  <w:style w:type="character" w:styleId="Hyperlink">
    <w:name w:val="Hyperlink"/>
    <w:rPr>
      <w:rFonts w:cs="Times New Roman"/>
      <w:color w:val="0000FF"/>
      <w:u w:val="single"/>
    </w:rPr>
  </w:style>
  <w:style w:type="character" w:styleId="Style15">
    <w:name w:val="Заголовок Знак"/>
    <w:qFormat/>
    <w:rPr>
      <w:rFonts w:ascii="Arial" w:hAnsi="Arial" w:eastAsia="Times New Roman" w:cs="Arial"/>
      <w:color w:val="17365D"/>
      <w:spacing w:val="5"/>
      <w:kern w:val="2"/>
      <w:sz w:val="52"/>
      <w:szCs w:val="52"/>
    </w:rPr>
  </w:style>
  <w:style w:type="character" w:styleId="Style16">
    <w:name w:val="Верхний колонтитул Знак"/>
    <w:qFormat/>
    <w:rPr>
      <w:sz w:val="22"/>
      <w:szCs w:val="22"/>
    </w:rPr>
  </w:style>
  <w:style w:type="character" w:styleId="Style17">
    <w:name w:val="Нижний колонтитул Знак"/>
    <w:qFormat/>
    <w:rPr>
      <w:sz w:val="22"/>
      <w:szCs w:val="22"/>
    </w:rPr>
  </w:style>
  <w:style w:type="character" w:styleId="fontstyle01">
    <w:name w:val="fontstyle01"/>
    <w:qFormat/>
    <w:rPr>
      <w:rFonts w:ascii="TimesNewRomanPSMT;Times New Roman" w:hAnsi="TimesNewRomanPSMT;Times New Roman" w:cs="TimesNewRomanPSMT;Times New Roman"/>
      <w:b w:val="false"/>
      <w:bCs w:val="false"/>
      <w:i w:val="false"/>
      <w:iCs w:val="false"/>
      <w:color w:val="000000"/>
      <w:sz w:val="24"/>
      <w:szCs w:val="24"/>
    </w:rPr>
  </w:style>
  <w:style w:type="character" w:styleId="fontstyle31">
    <w:name w:val="fontstyle31"/>
    <w:qFormat/>
    <w:rPr>
      <w:rFonts w:ascii="TimesNewRomanPSMT;Times New Roman" w:hAnsi="TimesNewRomanPSMT;Times New Roman" w:cs="Times New Roman"/>
      <w:color w:val="000000"/>
      <w:sz w:val="24"/>
      <w:szCs w:val="24"/>
    </w:rPr>
  </w:style>
  <w:style w:type="character" w:styleId="2">
    <w:name w:val="Основной текст (2)_"/>
    <w:qFormat/>
    <w:rPr>
      <w:rFonts w:ascii="Times New Roman" w:hAnsi="Times New Roman" w:eastAsia="Times New Roman" w:cs="Times New Roman"/>
      <w:color w:val="1E1C1F"/>
    </w:rPr>
  </w:style>
  <w:style w:type="character" w:styleId="Strong">
    <w:name w:val="Strong"/>
    <w:qFormat/>
    <w:rPr>
      <w:rFonts w:cs="Times New Roman"/>
      <w:b/>
    </w:rPr>
  </w:style>
  <w:style w:type="character" w:styleId="Style18">
    <w:name w:val="Основной текст_"/>
    <w:qFormat/>
    <w:rPr>
      <w:rFonts w:ascii="Times New Roman" w:hAnsi="Times New Roman" w:eastAsia="Times New Roman" w:cs="Times New Roman"/>
      <w:color w:val="2E2D2E"/>
      <w:sz w:val="28"/>
      <w:szCs w:val="28"/>
    </w:rPr>
  </w:style>
  <w:style w:type="paragraph" w:styleId="Heading">
    <w:name w:val="Heading"/>
    <w:basedOn w:val="Normal"/>
    <w:next w:val="Normal"/>
    <w:qFormat/>
    <w:pPr>
      <w:pBdr>
        <w:bottom w:val="single" w:sz="8" w:space="4" w:color="4F81BD"/>
      </w:pBdr>
      <w:spacing w:lineRule="auto" w:line="240" w:before="0" w:after="300"/>
      <w:ind w:firstLine="360" w:start="0" w:end="0"/>
      <w:contextualSpacing/>
    </w:pPr>
    <w:rPr>
      <w:rFonts w:ascii="Arial" w:hAnsi="Arial" w:eastAsia="Times New Roman" w:cs="Arial"/>
      <w:color w:val="17365D"/>
      <w:spacing w:val="5"/>
      <w:kern w:val="2"/>
      <w:sz w:val="52"/>
      <w:szCs w:val="52"/>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Style19">
    <w:name w:val="Абзац списка"/>
    <w:basedOn w:val="Normal"/>
    <w:qFormat/>
    <w:pPr>
      <w:spacing w:lineRule="auto" w:line="240" w:before="0" w:after="0"/>
      <w:ind w:firstLine="360" w:start="720" w:end="0"/>
      <w:contextualSpacing/>
    </w:pPr>
    <w:rPr>
      <w:rFonts w:ascii="Times New Roman" w:hAnsi="Times New Roman" w:eastAsia="Times New Roman" w:cs="Calibri"/>
      <w:sz w:val="28"/>
    </w:rPr>
  </w:style>
  <w:style w:type="paragraph" w:styleId="msonormalmrcssattr">
    <w:name w:val="msonormal_mr_css_attr"/>
    <w:basedOn w:val="Normal"/>
    <w:qFormat/>
    <w:pPr>
      <w:spacing w:lineRule="auto" w:line="240" w:before="280" w:after="280"/>
    </w:pPr>
    <w:rPr>
      <w:rFonts w:ascii="Times New Roman" w:hAnsi="Times New Roman" w:eastAsia="Times New Roman" w:cs="Times New Roman"/>
      <w:sz w:val="24"/>
      <w:szCs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21">
    <w:name w:val="Основной текст (2)"/>
    <w:basedOn w:val="Normal"/>
    <w:qFormat/>
    <w:pPr>
      <w:widowControl w:val="false"/>
      <w:spacing w:lineRule="auto" w:line="293" w:before="0" w:after="260"/>
      <w:ind w:hanging="0" w:start="780" w:end="0"/>
    </w:pPr>
    <w:rPr>
      <w:rFonts w:ascii="Times New Roman" w:hAnsi="Times New Roman" w:eastAsia="Times New Roman" w:cs="Times New Roman"/>
      <w:color w:val="1E1C1F"/>
      <w:sz w:val="20"/>
      <w:szCs w:val="20"/>
    </w:rPr>
  </w:style>
  <w:style w:type="paragraph" w:styleId="Style20">
    <w:name w:val="Обычный (Интернет)"/>
    <w:basedOn w:val="Normal"/>
    <w:qFormat/>
    <w:pPr>
      <w:spacing w:lineRule="auto" w:line="240" w:before="280" w:after="280"/>
    </w:pPr>
    <w:rPr>
      <w:rFonts w:ascii="Times New Roman" w:hAnsi="Times New Roman" w:eastAsia="Times New Roman" w:cs="Times New Roman"/>
      <w:sz w:val="24"/>
      <w:szCs w:val="24"/>
    </w:rPr>
  </w:style>
  <w:style w:type="paragraph" w:styleId="1">
    <w:name w:val="Основной текст1"/>
    <w:basedOn w:val="Normal"/>
    <w:qFormat/>
    <w:pPr>
      <w:widowControl w:val="false"/>
      <w:spacing w:lineRule="auto" w:line="286" w:before="0" w:after="360"/>
    </w:pPr>
    <w:rPr>
      <w:rFonts w:ascii="Times New Roman" w:hAnsi="Times New Roman" w:eastAsia="Times New Roman" w:cs="Times New Roman"/>
      <w:color w:val="2E2D2E"/>
      <w:sz w:val="28"/>
      <w:szCs w:val="2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s>
</file>

<file path=word/_rels/document.xml.rels><?xml version='1.0' encoding='UTF-8' standalone='yes'?>
<Relationships xmlns="http://schemas.openxmlformats.org/package/2006/relationships"><Relationship Id="rId21" Type="http://schemas.openxmlformats.org/officeDocument/2006/relationships/footer" Target="footer1.xml"/><Relationship Id="rId22" Type="http://schemas.openxmlformats.org/officeDocument/2006/relationships/footer" Target="footer2.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2026-04-08T14:29:00Z</dcterms:created>
  <dc:creator>123</dc:creator>
  <dc:description/>
  <cp:keywords/>
  <dc:language>ru-RU</dc:language>
  <cp:lastModifiedBy>Пользователь</cp:lastModifiedBy>
  <cp:lastPrinted>2024-02-19T11:13:00Z</cp:lastPrinted>
  <dcterms:modified xsi:type="dcterms:W3CDTF">2026-04-08T15:50:00Z</dcterms:modified>
  <cp:revision>5</cp:revision>
  <dc:subject/>
  <dc:title/>
</cp:coreProperties>
</file>