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Отчет о работе комиссии ЦС по работе с молодежью 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Всероссийского профсоюза работников РАН в 2025 г.</w:t>
      </w:r>
    </w:p>
    <w:p>
      <w:pPr>
        <w:pStyle w:val="Normal"/>
        <w:shd w:fill="FFFFFF" w:val="clear"/>
        <w:spacing w:lineRule="atLeast" w:line="312" w:before="0" w:after="120"/>
        <w:contextualSpacing/>
        <w:jc w:val="both"/>
        <w:textAlignment w:val="baseline"/>
        <w:rPr/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1.</w:t>
        <w:tab/>
        <w:t>Организация, проведение и участие с докладами в межрегиональной междисциплинарной молодежной научно-практической конференции МНПК-25 (17-20 июня 2025 г, Варнавино). Участвуя в таких конференциях, можно не терять связь со знакомыми коллегами, заводить полезные контакты, лучше узнавать друг друга, обмениваться опытом и свежими идеями. А еще — это отличный способ познакомить молодежь из академических институтов с Профсоюзом и вовлечь их в его ряды.</w:t>
      </w:r>
    </w:p>
    <w:p>
      <w:pPr>
        <w:pStyle w:val="Normal"/>
        <w:shd w:fill="FFFFFF" w:val="clear"/>
        <w:spacing w:lineRule="atLeast" w:line="312" w:before="0" w:after="120"/>
        <w:contextualSpacing/>
        <w:jc w:val="both"/>
        <w:textAlignment w:val="baseline"/>
        <w:rPr/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2.</w:t>
        <w:tab/>
        <w:t>Организация, проведение и участие с докладами в II Сибирской научно-практической молодежной конференции «СибНМК - 2025» 4 – 8 августа 2025 г., база отдыха ИГД СО РАН "Наука", г. Новосибирск. Вторая Сибирская научно-практическая молодежная конференция приняла резолюцию, в которой выражается обеспокоенность низким уровнем финансирования фундаментальной науки в России. Резолюция также затрагивает вопросы приобретения научного оборудования, командировочных расходов и вовлечения молодых ученых в научную деятельность.</w:t>
      </w:r>
    </w:p>
    <w:p>
      <w:pPr>
        <w:pStyle w:val="Normal"/>
        <w:shd w:fill="FFFFFF" w:val="clear"/>
        <w:spacing w:lineRule="atLeast" w:line="312" w:before="0" w:after="120"/>
        <w:contextualSpacing/>
        <w:jc w:val="both"/>
        <w:textAlignment w:val="baseline"/>
        <w:rPr/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3.</w:t>
        <w:tab/>
        <w:t>Содействие в организации и участие в XXХ Всероссийской (Поволжской) ассамблее Профсоюза работников РАН. Комиссия выполнила поставленные Программным комитетом Всероссийской (Поволжкой) Ассамблеи профсоюза работников РАН задачи по формулировке тем докладов и подбора докладчиков для Молодёжной секции в рамках обозначенных сроков.</w:t>
      </w:r>
    </w:p>
    <w:p>
      <w:pPr>
        <w:pStyle w:val="Normal"/>
        <w:shd w:fill="FFFFFF" w:val="clear"/>
        <w:spacing w:lineRule="atLeast" w:line="312" w:before="0" w:after="120"/>
        <w:contextualSpacing/>
        <w:jc w:val="both"/>
        <w:textAlignment w:val="baseline"/>
        <w:rPr/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4.</w:t>
        <w:tab/>
        <w:t>Представители комиссии ЦС Профсоюза работников РАН по работе с молодежью участвовали в комплексе рабочей группы в направлении по увеличению командировочных расходов.</w:t>
      </w:r>
    </w:p>
    <w:p>
      <w:pPr>
        <w:pStyle w:val="Normal"/>
        <w:shd w:fill="FFFFFF" w:val="clear"/>
        <w:spacing w:lineRule="atLeast" w:line="312" w:before="0" w:after="120"/>
        <w:contextualSpacing/>
        <w:jc w:val="both"/>
        <w:textAlignment w:val="baseline"/>
        <w:rPr/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5.</w:t>
        <w:tab/>
        <w:t>Членами комиссии ЦС Профсоюза работников РАН по работе с молодежью был организован семинар в формате ВКС на тему "Субсидия государственного задания. Нормативные затраты, территориальные и отраслевые коэффициенты, учет трудозатрат", и проведен А. В. Майоровой.</w:t>
      </w:r>
    </w:p>
    <w:p>
      <w:pPr>
        <w:pStyle w:val="Normal"/>
        <w:shd w:fill="FFFFFF" w:val="clear"/>
        <w:spacing w:lineRule="atLeast" w:line="312" w:before="0" w:after="120"/>
        <w:contextualSpacing/>
        <w:jc w:val="both"/>
        <w:textAlignment w:val="baseline"/>
        <w:rPr/>
      </w:pPr>
      <w:r>
        <w:rPr>
          <w:rFonts w:cs="Times New Roman" w:ascii="Times New Roman" w:hAnsi="Times New Roman"/>
          <w:sz w:val="28"/>
          <w:szCs w:val="28"/>
        </w:rPr>
        <w:t xml:space="preserve">   </w:t>
      </w:r>
      <w:r>
        <w:rPr>
          <w:rFonts w:cs="Times New Roman" w:ascii="Times New Roman" w:hAnsi="Times New Roman"/>
          <w:sz w:val="28"/>
          <w:szCs w:val="28"/>
        </w:rPr>
        <w:t>6.</w:t>
        <w:tab/>
        <w:t>Члены комиссии ЦС Профсоюза работников РАН по работе с молодежью участвовали в выездном заседании Комитета Государственной думы по молодёжной политике. В докладе от Профсоюза работников РАН были донесены основные проблемы и идеи молодых учёных РАН. Так же в комитет был направлен документ, подробно излагающий озвученное в докладе.</w:t>
      </w:r>
    </w:p>
    <w:p>
      <w:pPr>
        <w:pStyle w:val="Normal"/>
        <w:shd w:fill="FFFFFF" w:val="clear"/>
        <w:spacing w:lineRule="atLeast" w:line="312" w:before="0" w:after="120"/>
        <w:contextualSpacing/>
        <w:jc w:val="both"/>
        <w:textAlignment w:val="baseline"/>
        <w:rPr/>
      </w:pPr>
      <w:r>
        <w:rPr>
          <w:rFonts w:cs="Times New Roman" w:ascii="Times New Roman" w:hAnsi="Times New Roman"/>
          <w:sz w:val="28"/>
          <w:szCs w:val="28"/>
        </w:rPr>
        <w:t xml:space="preserve">   </w:t>
      </w:r>
      <w:r>
        <w:rPr>
          <w:rFonts w:cs="Times New Roman" w:ascii="Times New Roman" w:hAnsi="Times New Roman"/>
          <w:sz w:val="28"/>
          <w:szCs w:val="28"/>
        </w:rPr>
        <w:t>7.</w:t>
        <w:tab/>
        <w:t>Была систематизирована актуальная информация по правилам, особенностям, негласным нюансам и возможностях Профсоюза при принятии решений в МОН по распределению ГЖС. Были собраны данные по получателям за 2024-2025 гг.</w:t>
      </w:r>
    </w:p>
    <w:p>
      <w:pPr>
        <w:pStyle w:val="Normal"/>
        <w:shd w:fill="FFFFFF" w:val="clear"/>
        <w:spacing w:lineRule="atLeast" w:line="312" w:before="0" w:after="120"/>
        <w:contextualSpacing/>
        <w:jc w:val="both"/>
        <w:textAlignment w:val="baseline"/>
        <w:rPr/>
      </w:pPr>
      <w:r>
        <w:rPr>
          <w:rFonts w:cs="Times New Roman" w:ascii="Times New Roman" w:hAnsi="Times New Roman"/>
          <w:sz w:val="28"/>
          <w:szCs w:val="28"/>
        </w:rPr>
        <w:t xml:space="preserve">   </w:t>
      </w:r>
      <w:r>
        <w:rPr>
          <w:rFonts w:cs="Times New Roman" w:ascii="Times New Roman" w:hAnsi="Times New Roman"/>
          <w:sz w:val="28"/>
          <w:szCs w:val="28"/>
        </w:rPr>
        <w:t>8.</w:t>
        <w:tab/>
        <w:t>Заявлено о необходимости молодёжных квот при выборе кандидатов в члены Центрального совета Профсоюза работников РАН. Большинством голосов принято решение поддержать предложения Председателя комиссии А.В. Богданова о поддержке постановления Президиума ЦС № 22-01 от 10 июля 2025 г. в части п. 2 Приложения №4.</w:t>
      </w:r>
    </w:p>
    <w:p>
      <w:pPr>
        <w:pStyle w:val="Normal"/>
        <w:shd w:fill="FFFFFF" w:val="clear"/>
        <w:spacing w:lineRule="atLeast" w:line="312" w:before="0" w:after="120"/>
        <w:contextualSpacing/>
        <w:jc w:val="both"/>
        <w:textAlignment w:val="baseline"/>
        <w:rPr/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9.</w:t>
        <w:tab/>
        <w:t>Членами комиссии ЦС Профсоюза работников РАН по работе с молодежью был организован обучающий семинар в г. Екатеринбурге с участием молодежных профсоюзных объединений: «Стрим» (Сибирь), «Оптимус» (Поволжье) и «Компас» (Москва). На семинаре были затронуты актуальные темы - обмен опытом деятельности региональных организаций и взаимодействие с молодежью, условия получения ГЖС, о помощи участникам СВО от профорганизации, показав, что Профсоюз не только является источником благ для его членов, но и учит быть солидарными и вносить посильный вклад в помощь защитникам Родины и жителям приграничных регионов. Мероприятие завершили докладами с обсуждениями в формате круглого стола, на котором обсудили деятельность СМУ РАН и молодежных профсоюзных объединений. В частности, было отмечено, что СМУ РАН и Профсоюзу работников РАН необходимо усилить совместную работу и координацию действий по вопросам жилья, в первую очередь ГЖС, проведения спортивных мероприятий, а также в разработке инструментов и мероприятий, направленных на повышение социальной защищенности ученых и специалистов из научных организаций. Так же участники отметили важность проведения подобных региональных мероприятий для обмена опытом, укрепления горизонтальных и межрегиональных связей, выработки решений по сложным и актуальным вопросам, популяризации деятельности Профсоюза.</w:t>
      </w:r>
    </w:p>
    <w:p>
      <w:pPr>
        <w:pStyle w:val="Normal"/>
        <w:shd w:fill="FFFFFF" w:val="clear"/>
        <w:spacing w:lineRule="atLeast" w:line="312" w:before="0" w:after="120"/>
        <w:ind w:firstLine="300" w:end="0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10.</w:t>
        <w:tab/>
        <w:t>Для привлечения внимания к деятельности Профсоюза члены комиссии выпустили серию видео. В этих роликах разъясняется, с какими проблемами может помочь справиться Профсоюз — от заключения отраслевого соглашения и получения жилищных сертификатов до проведения научно-популярных мероприятий.</w:t>
      </w:r>
    </w:p>
    <w:p>
      <w:pPr>
        <w:pStyle w:val="Normal"/>
        <w:shd w:fill="FFFFFF" w:val="clear"/>
        <w:spacing w:lineRule="atLeast" w:line="312" w:before="0" w:after="120"/>
        <w:ind w:firstLine="300" w:end="0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Председатель Комиссии по работе с молодежью ЦС Профсоюза работников РАН</w:t>
        <w:tab/>
        <w:t>А.В. Богданов</w:t>
      </w:r>
    </w:p>
    <w:sectPr>
      <w:footerReference w:type="default" r:id="rId21"/>
      <w:footerReference w:type="first" r:id="rId22"/>
      <w:type w:val="nextPage"/>
      <w:pgSz w:w="11906" w:h="16838"/>
      <w:pgMar w:left="1701" w:right="850" w:gutter="0" w:header="0" w:top="567" w:footer="0" w:bottom="709"/>
      <w:pgNumType w:start="0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cc"/>
    <w:family w:val="swiss"/>
    <w:pitch w:val="variable"/>
  </w:font>
  <w:font w:name="Wingdings">
    <w:charset w:val="02"/>
    <w:family w:val="auto"/>
    <w:pitch w:val="variable"/>
  </w:font>
  <w:font w:name="Courier New">
    <w:charset w:val="cc"/>
    <w:family w:val="modern"/>
    <w:pitch w:val="default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TimesNewRomanPSMT">
    <w:altName w:val="Times New Roman"/>
    <w:charset w:val="00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43</w:t>
    </w:r>
    <w:r>
      <w:rPr/>
      <w:fldChar w:fldCharType="end"/>
    </w:r>
  </w:p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b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Calibri"/>
        <w:sz w:val="22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Calibri"/>
        <w:sz w:val="22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Calibri"/>
        <w:sz w:val="22"/>
      </w:r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cs="Times New Roman"/>
        <w:b/>
      </w:rPr>
    </w:lvl>
  </w:abstractNum>
  <w:abstractNum w:abstractNumId="7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decimal"/>
      <w:lvlText w:val="%1."/>
      <w:lvlJc w:val="start"/>
      <w:pPr>
        <w:tabs>
          <w:tab w:val="num" w:pos="0"/>
        </w:tabs>
        <w:ind w:start="1647" w:hanging="360"/>
      </w:pPr>
    </w:lvl>
  </w:abstractNum>
  <w:abstractNum w:abstractNumId="12">
    <w:lvl w:ilvl="0">
      <w:start w:val="1"/>
      <w:numFmt w:val="decimal"/>
      <w:lvlText w:val="%1."/>
      <w:lvlJc w:val="start"/>
      <w:pPr>
        <w:tabs>
          <w:tab w:val="num" w:pos="0"/>
        </w:tabs>
        <w:ind w:start="427" w:hanging="360"/>
      </w:pPr>
      <w:rPr>
        <w:b w:val="false"/>
        <w:i w:val="false"/>
        <w:spacing w:val="0"/>
        <w:w w:val="100"/>
        <w:lang w:bidi="ar-SA"/>
      </w:rPr>
    </w:lvl>
    <w:lvl w:ilvl="1">
      <w:start w:val="0"/>
      <w:numFmt w:val="bullet"/>
      <w:lvlText w:val="-"/>
      <w:lvlJc w:val="start"/>
      <w:pPr>
        <w:tabs>
          <w:tab w:val="num" w:pos="0"/>
        </w:tabs>
        <w:ind w:start="566" w:hanging="140"/>
      </w:pPr>
      <w:rPr>
        <w:rFonts w:ascii="Times New Roman" w:hAnsi="Times New Roman" w:cs="Times New Roman" w:hint="default"/>
        <w:spacing w:val="0"/>
        <w:w w:val="100"/>
        <w:lang w:bidi="ar-SA"/>
      </w:rPr>
    </w:lvl>
    <w:lvl w:ilvl="2">
      <w:start w:val="0"/>
      <w:numFmt w:val="bullet"/>
      <w:lvlText w:val="•"/>
      <w:lvlJc w:val="start"/>
      <w:pPr>
        <w:tabs>
          <w:tab w:val="num" w:pos="0"/>
        </w:tabs>
        <w:ind w:start="1600" w:hanging="140"/>
      </w:pPr>
      <w:rPr>
        <w:rFonts w:ascii="Liberation Serif" w:hAnsi="Liberation Serif" w:cs="Liberation Serif" w:hint="default"/>
        <w:lang w:bidi="ar-SA"/>
      </w:rPr>
    </w:lvl>
    <w:lvl w:ilvl="3">
      <w:start w:val="0"/>
      <w:numFmt w:val="bullet"/>
      <w:lvlText w:val="•"/>
      <w:lvlJc w:val="start"/>
      <w:pPr>
        <w:tabs>
          <w:tab w:val="num" w:pos="0"/>
        </w:tabs>
        <w:ind w:start="2640" w:hanging="140"/>
      </w:pPr>
      <w:rPr>
        <w:rFonts w:ascii="Liberation Serif" w:hAnsi="Liberation Serif" w:cs="Liberation Serif" w:hint="default"/>
        <w:lang w:bidi="ar-SA"/>
      </w:rPr>
    </w:lvl>
    <w:lvl w:ilvl="4">
      <w:start w:val="0"/>
      <w:numFmt w:val="bullet"/>
      <w:lvlText w:val="•"/>
      <w:lvlJc w:val="start"/>
      <w:pPr>
        <w:tabs>
          <w:tab w:val="num" w:pos="0"/>
        </w:tabs>
        <w:ind w:start="3681" w:hanging="140"/>
      </w:pPr>
      <w:rPr>
        <w:rFonts w:ascii="Liberation Serif" w:hAnsi="Liberation Serif" w:cs="Liberation Serif" w:hint="default"/>
        <w:lang w:bidi="ar-SA"/>
      </w:rPr>
    </w:lvl>
    <w:lvl w:ilvl="5">
      <w:start w:val="0"/>
      <w:numFmt w:val="bullet"/>
      <w:lvlText w:val="•"/>
      <w:lvlJc w:val="start"/>
      <w:pPr>
        <w:tabs>
          <w:tab w:val="num" w:pos="0"/>
        </w:tabs>
        <w:ind w:start="4721" w:hanging="140"/>
      </w:pPr>
      <w:rPr>
        <w:rFonts w:ascii="Liberation Serif" w:hAnsi="Liberation Serif" w:cs="Liberation Serif" w:hint="default"/>
        <w:lang w:bidi="ar-SA"/>
      </w:rPr>
    </w:lvl>
    <w:lvl w:ilvl="6">
      <w:start w:val="0"/>
      <w:numFmt w:val="bullet"/>
      <w:lvlText w:val="•"/>
      <w:lvlJc w:val="start"/>
      <w:pPr>
        <w:tabs>
          <w:tab w:val="num" w:pos="0"/>
        </w:tabs>
        <w:ind w:start="5761" w:hanging="140"/>
      </w:pPr>
      <w:rPr>
        <w:rFonts w:ascii="Liberation Serif" w:hAnsi="Liberation Serif" w:cs="Liberation Serif" w:hint="default"/>
        <w:lang w:bidi="ar-SA"/>
      </w:rPr>
    </w:lvl>
    <w:lvl w:ilvl="7">
      <w:start w:val="0"/>
      <w:numFmt w:val="bullet"/>
      <w:lvlText w:val="•"/>
      <w:lvlJc w:val="start"/>
      <w:pPr>
        <w:tabs>
          <w:tab w:val="num" w:pos="0"/>
        </w:tabs>
        <w:ind w:start="6802" w:hanging="140"/>
      </w:pPr>
      <w:rPr>
        <w:rFonts w:ascii="Liberation Serif" w:hAnsi="Liberation Serif" w:cs="Liberation Serif" w:hint="default"/>
        <w:lang w:bidi="ar-SA"/>
      </w:rPr>
    </w:lvl>
    <w:lvl w:ilvl="8">
      <w:start w:val="0"/>
      <w:numFmt w:val="bullet"/>
      <w:lvlText w:val="•"/>
      <w:lvlJc w:val="start"/>
      <w:pPr>
        <w:tabs>
          <w:tab w:val="num" w:pos="0"/>
        </w:tabs>
        <w:ind w:start="7842" w:hanging="140"/>
      </w:pPr>
      <w:rPr>
        <w:rFonts w:ascii="Liberation Serif" w:hAnsi="Liberation Serif" w:cs="Liberation Serif" w:hint="default"/>
        <w:lang w:bidi="ar-SA"/>
      </w:rPr>
    </w:lvl>
  </w:abstractNum>
  <w:abstractNum w:abstractNumId="13">
    <w:lvl w:ilvl="0">
      <w:start w:val="1"/>
      <w:numFmt w:val="upperRoman"/>
      <w:lvlText w:val="%1."/>
      <w:lvlJc w:val="start"/>
      <w:pPr>
        <w:tabs>
          <w:tab w:val="num" w:pos="0"/>
        </w:tabs>
        <w:ind w:start="2138" w:hanging="720"/>
      </w:pPr>
      <w:rPr/>
    </w:lvl>
  </w:abstractNum>
  <w:abstractNum w:abstractNumId="14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bidi="ar-SA" w:val="ru-RU" w:eastAsia="zh-CN"/>
    </w:rPr>
  </w:style>
  <w:style w:type="character" w:styleId="WW8Num1z0">
    <w:name w:val="WW8Num1z0"/>
    <w:qFormat/>
    <w:rPr>
      <w:rFonts w:ascii="Wingdings" w:hAnsi="Wingdings" w:cs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>
      <w:rFonts w:ascii="Wingdings" w:hAnsi="Wingdings" w:cs="Wingdings"/>
      <w:b/>
    </w:rPr>
  </w:style>
  <w:style w:type="character" w:styleId="WW8Num2z1">
    <w:name w:val="WW8Num2z1"/>
    <w:qFormat/>
    <w:rPr>
      <w:rFonts w:cs="Times New Roman"/>
    </w:rPr>
  </w:style>
  <w:style w:type="character" w:styleId="WW8Num3z0">
    <w:name w:val="WW8Num3z0"/>
    <w:qFormat/>
    <w:rPr>
      <w:rFonts w:ascii="Calibri" w:hAnsi="Calibri" w:cs="Calibri"/>
      <w:sz w:val="22"/>
    </w:rPr>
  </w:style>
  <w:style w:type="character" w:styleId="WW8Num4z0">
    <w:name w:val="WW8Num4z0"/>
    <w:qFormat/>
    <w:rPr>
      <w:rFonts w:ascii="Calibri" w:hAnsi="Calibri" w:cs="Calibri"/>
      <w:sz w:val="22"/>
    </w:rPr>
  </w:style>
  <w:style w:type="character" w:styleId="WW8Num5z0">
    <w:name w:val="WW8Num5z0"/>
    <w:qFormat/>
    <w:rPr>
      <w:rFonts w:ascii="Calibri" w:hAnsi="Calibri" w:cs="Calibri"/>
      <w:sz w:val="22"/>
    </w:rPr>
  </w:style>
  <w:style w:type="character" w:styleId="WW8Num6z0">
    <w:name w:val="WW8Num6z0"/>
    <w:qFormat/>
    <w:rPr>
      <w:sz w:val="24"/>
      <w:szCs w:val="24"/>
    </w:rPr>
  </w:style>
  <w:style w:type="character" w:styleId="WW8Num7z0">
    <w:name w:val="WW8Num7z0"/>
    <w:qFormat/>
    <w:rPr>
      <w:rFonts w:cs="Times New Roman"/>
      <w:b/>
    </w:rPr>
  </w:style>
  <w:style w:type="character" w:styleId="WW8Num7z1">
    <w:name w:val="WW8Num7z1"/>
    <w:qFormat/>
    <w:rPr>
      <w:rFonts w:cs="Times New Roman"/>
    </w:rPr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Wingdings" w:hAnsi="Wingdings" w:cs="Wingdings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0">
    <w:name w:val="WW8Num10z0"/>
    <w:qFormat/>
    <w:rPr>
      <w:rFonts w:ascii="Calibri" w:hAnsi="Calibri" w:cs="Calibri"/>
    </w:rPr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3z0">
    <w:name w:val="WW8Num13z0"/>
    <w:qFormat/>
    <w:rPr/>
  </w:style>
  <w:style w:type="character" w:styleId="WW8Num14z0">
    <w:name w:val="WW8Num14z0"/>
    <w:qFormat/>
    <w:rPr>
      <w:rFonts w:ascii="Times New Roman" w:hAnsi="Times New Roman" w:eastAsia="Times New Roman" w:cs="Times New Roman"/>
    </w:rPr>
  </w:style>
  <w:style w:type="character" w:styleId="WW8Num14z1">
    <w:name w:val="WW8Num14z1"/>
    <w:qFormat/>
    <w:rPr>
      <w:rFonts w:ascii="Calibri" w:hAnsi="Calibri" w:cs="Calibri"/>
    </w:rPr>
  </w:style>
  <w:style w:type="character" w:styleId="WW8Num15z0">
    <w:name w:val="WW8Num15z0"/>
    <w:qFormat/>
    <w:rPr>
      <w:rFonts w:ascii="Wingdings" w:hAnsi="Wingdings" w:cs="Wingdings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>
      <w:rFonts w:ascii="Wingdings" w:hAnsi="Wingdings" w:cs="Wingdings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3">
    <w:name w:val="WW8Num16z3"/>
    <w:qFormat/>
    <w:rPr>
      <w:rFonts w:ascii="Symbol" w:hAnsi="Symbol" w:cs="Symbol"/>
    </w:rPr>
  </w:style>
  <w:style w:type="character" w:styleId="WW8Num17z0">
    <w:name w:val="WW8Num17z0"/>
    <w:qFormat/>
    <w:rPr>
      <w:rFonts w:ascii="Wingdings" w:hAnsi="Wingdings" w:cs="Wingdings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3">
    <w:name w:val="WW8Num17z3"/>
    <w:qFormat/>
    <w:rPr>
      <w:rFonts w:ascii="Symbol" w:hAnsi="Symbol" w:cs="Symbol"/>
    </w:rPr>
  </w:style>
  <w:style w:type="character" w:styleId="WW8Num18z0">
    <w:name w:val="WW8Num18z0"/>
    <w:qFormat/>
    <w:rPr/>
  </w:style>
  <w:style w:type="character" w:styleId="WW8Num19z0">
    <w:name w:val="WW8Num19z0"/>
    <w:qFormat/>
    <w:rPr/>
  </w:style>
  <w:style w:type="character" w:styleId="WW8Num21z0">
    <w:name w:val="WW8Num21z0"/>
    <w:qFormat/>
    <w:rPr>
      <w:b w:val="false"/>
      <w:i w:val="false"/>
      <w:spacing w:val="0"/>
      <w:w w:val="100"/>
      <w:lang w:bidi="ar-SA"/>
    </w:rPr>
  </w:style>
  <w:style w:type="character" w:styleId="WW8Num21z1">
    <w:name w:val="WW8Num21z1"/>
    <w:qFormat/>
    <w:rPr>
      <w:rFonts w:ascii="Times New Roman" w:hAnsi="Times New Roman" w:eastAsia="Times New Roman" w:cs="Times New Roman"/>
      <w:spacing w:val="0"/>
      <w:w w:val="100"/>
      <w:lang w:bidi="ar-SA"/>
    </w:rPr>
  </w:style>
  <w:style w:type="character" w:styleId="WW8Num21z2">
    <w:name w:val="WW8Num21z2"/>
    <w:qFormat/>
    <w:rPr>
      <w:lang w:bidi="ar-SA"/>
    </w:rPr>
  </w:style>
  <w:style w:type="character" w:styleId="WW8Num22z0">
    <w:name w:val="WW8Num22z0"/>
    <w:qFormat/>
    <w:rPr/>
  </w:style>
  <w:style w:type="character" w:styleId="WW8Num23z0">
    <w:name w:val="WW8Num23z0"/>
    <w:qFormat/>
    <w:rPr/>
  </w:style>
  <w:style w:type="character" w:styleId="WW8Num24z0">
    <w:name w:val="WW8Num24z0"/>
    <w:qFormat/>
    <w:rPr>
      <w:rFonts w:ascii="Wingdings" w:hAnsi="Wingdings" w:cs="Wingdings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3">
    <w:name w:val="WW8Num24z3"/>
    <w:qFormat/>
    <w:rPr>
      <w:rFonts w:ascii="Symbol" w:hAnsi="Symbol" w:cs="Symbol"/>
    </w:rPr>
  </w:style>
  <w:style w:type="character" w:styleId="WW8Num25z0">
    <w:name w:val="WW8Num25z0"/>
    <w:qFormat/>
    <w:rPr>
      <w:rFonts w:ascii="Wingdings" w:hAnsi="Wingdings" w:cs="Wingdings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3">
    <w:name w:val="WW8Num25z3"/>
    <w:qFormat/>
    <w:rPr>
      <w:rFonts w:ascii="Symbol" w:hAnsi="Symbol" w:cs="Symbol"/>
    </w:rPr>
  </w:style>
  <w:style w:type="character" w:styleId="WW8Num26z0">
    <w:name w:val="WW8Num26z0"/>
    <w:qFormat/>
    <w:rPr>
      <w:rFonts w:ascii="Wingdings" w:hAnsi="Wingdings" w:cs="Wingdings"/>
    </w:rPr>
  </w:style>
  <w:style w:type="character" w:styleId="WW8Num26z1">
    <w:name w:val="WW8Num26z1"/>
    <w:qFormat/>
    <w:rPr>
      <w:rFonts w:ascii="Courier New" w:hAnsi="Courier New" w:cs="Courier New"/>
    </w:rPr>
  </w:style>
  <w:style w:type="character" w:styleId="WW8Num26z3">
    <w:name w:val="WW8Num26z3"/>
    <w:qFormat/>
    <w:rPr>
      <w:rFonts w:ascii="Symbol" w:hAnsi="Symbol" w:cs="Symbol"/>
    </w:rPr>
  </w:style>
  <w:style w:type="character" w:styleId="WW8Num27z0">
    <w:name w:val="WW8Num27z0"/>
    <w:qFormat/>
    <w:rPr>
      <w:rFonts w:cs="Times New Roman"/>
    </w:rPr>
  </w:style>
  <w:style w:type="character" w:styleId="WW8Num27z1">
    <w:name w:val="WW8Num27z1"/>
    <w:qFormat/>
    <w:rPr>
      <w:rFonts w:cs="Times New Roman"/>
    </w:rPr>
  </w:style>
  <w:style w:type="character" w:styleId="WW8Num28z0">
    <w:name w:val="WW8Num28z0"/>
    <w:qFormat/>
    <w:rPr/>
  </w:style>
  <w:style w:type="character" w:styleId="WW8Num29z0">
    <w:name w:val="WW8Num29z0"/>
    <w:qFormat/>
    <w:rPr/>
  </w:style>
  <w:style w:type="character" w:styleId="WW8Num30z0">
    <w:name w:val="WW8Num30z0"/>
    <w:qFormat/>
    <w:rPr>
      <w:b w:val="false"/>
      <w:bCs/>
    </w:rPr>
  </w:style>
  <w:style w:type="character" w:styleId="Style14">
    <w:name w:val="Основной шрифт абзаца"/>
    <w:qFormat/>
    <w:rPr/>
  </w:style>
  <w:style w:type="character" w:styleId="Hyperlink">
    <w:name w:val="Hyperlink"/>
    <w:rPr>
      <w:rFonts w:cs="Times New Roman"/>
      <w:color w:val="0000FF"/>
      <w:u w:val="single"/>
    </w:rPr>
  </w:style>
  <w:style w:type="character" w:styleId="Style15">
    <w:name w:val="Заголовок Знак"/>
    <w:qFormat/>
    <w:rPr>
      <w:rFonts w:ascii="Arial" w:hAnsi="Arial" w:eastAsia="Times New Roman" w:cs="Arial"/>
      <w:color w:val="17365D"/>
      <w:spacing w:val="5"/>
      <w:kern w:val="2"/>
      <w:sz w:val="52"/>
      <w:szCs w:val="52"/>
    </w:rPr>
  </w:style>
  <w:style w:type="character" w:styleId="Style16">
    <w:name w:val="Верхний колонтитул Знак"/>
    <w:qFormat/>
    <w:rPr>
      <w:sz w:val="22"/>
      <w:szCs w:val="22"/>
    </w:rPr>
  </w:style>
  <w:style w:type="character" w:styleId="Style17">
    <w:name w:val="Нижний колонтитул Знак"/>
    <w:qFormat/>
    <w:rPr>
      <w:sz w:val="22"/>
      <w:szCs w:val="22"/>
    </w:rPr>
  </w:style>
  <w:style w:type="character" w:styleId="fontstyle01">
    <w:name w:val="fontstyle01"/>
    <w:qFormat/>
    <w:rPr>
      <w:rFonts w:ascii="TimesNewRomanPSMT;Times New Roman" w:hAnsi="TimesNewRomanPSMT;Times New Roman" w:cs="TimesNewRomanPSMT;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fontstyle31">
    <w:name w:val="fontstyle31"/>
    <w:qFormat/>
    <w:rPr>
      <w:rFonts w:ascii="TimesNewRomanPSMT;Times New Roman" w:hAnsi="TimesNewRomanPSMT;Times New Roman" w:cs="Times New Roman"/>
      <w:color w:val="000000"/>
      <w:sz w:val="24"/>
      <w:szCs w:val="24"/>
    </w:rPr>
  </w:style>
  <w:style w:type="character" w:styleId="2">
    <w:name w:val="Основной текст (2)_"/>
    <w:qFormat/>
    <w:rPr>
      <w:rFonts w:ascii="Times New Roman" w:hAnsi="Times New Roman" w:eastAsia="Times New Roman" w:cs="Times New Roman"/>
      <w:color w:val="1E1C1F"/>
    </w:rPr>
  </w:style>
  <w:style w:type="character" w:styleId="Strong">
    <w:name w:val="Strong"/>
    <w:qFormat/>
    <w:rPr>
      <w:rFonts w:cs="Times New Roman"/>
      <w:b/>
    </w:rPr>
  </w:style>
  <w:style w:type="character" w:styleId="Style18">
    <w:name w:val="Основной текст_"/>
    <w:qFormat/>
    <w:rPr>
      <w:rFonts w:ascii="Times New Roman" w:hAnsi="Times New Roman" w:eastAsia="Times New Roman" w:cs="Times New Roman"/>
      <w:color w:val="2E2D2E"/>
      <w:sz w:val="28"/>
      <w:szCs w:val="28"/>
    </w:rPr>
  </w:style>
  <w:style w:type="paragraph" w:styleId="Heading">
    <w:name w:val="Heading"/>
    <w:basedOn w:val="Normal"/>
    <w:next w:val="Normal"/>
    <w:qFormat/>
    <w:pPr>
      <w:pBdr>
        <w:bottom w:val="single" w:sz="8" w:space="4" w:color="4F81BD"/>
      </w:pBdr>
      <w:spacing w:lineRule="auto" w:line="240" w:before="0" w:after="300"/>
      <w:ind w:firstLine="360" w:start="0" w:end="0"/>
      <w:contextualSpacing/>
    </w:pPr>
    <w:rPr>
      <w:rFonts w:ascii="Arial" w:hAnsi="Arial" w:eastAsia="Times New Roman" w:cs="Arial"/>
      <w:color w:val="17365D"/>
      <w:spacing w:val="5"/>
      <w:kern w:val="2"/>
      <w:sz w:val="52"/>
      <w:szCs w:val="52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Style19">
    <w:name w:val="Абзац списка"/>
    <w:basedOn w:val="Normal"/>
    <w:qFormat/>
    <w:pPr>
      <w:spacing w:lineRule="auto" w:line="240" w:before="0" w:after="0"/>
      <w:ind w:firstLine="360" w:start="720" w:end="0"/>
      <w:contextualSpacing/>
    </w:pPr>
    <w:rPr>
      <w:rFonts w:ascii="Times New Roman" w:hAnsi="Times New Roman" w:eastAsia="Times New Roman" w:cs="Calibri"/>
      <w:sz w:val="28"/>
    </w:rPr>
  </w:style>
  <w:style w:type="paragraph" w:styleId="msonormalmrcssattr">
    <w:name w:val="msonormal_mr_css_attr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1">
    <w:name w:val="Основной текст (2)"/>
    <w:basedOn w:val="Normal"/>
    <w:qFormat/>
    <w:pPr>
      <w:widowControl w:val="false"/>
      <w:spacing w:lineRule="auto" w:line="293" w:before="0" w:after="260"/>
      <w:ind w:hanging="0" w:start="780" w:end="0"/>
    </w:pPr>
    <w:rPr>
      <w:rFonts w:ascii="Times New Roman" w:hAnsi="Times New Roman" w:eastAsia="Times New Roman" w:cs="Times New Roman"/>
      <w:color w:val="1E1C1F"/>
      <w:sz w:val="20"/>
      <w:szCs w:val="20"/>
    </w:rPr>
  </w:style>
  <w:style w:type="paragraph" w:styleId="Style20">
    <w:name w:val="Обычный (Интернет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1">
    <w:name w:val="Основной текст1"/>
    <w:basedOn w:val="Normal"/>
    <w:qFormat/>
    <w:pPr>
      <w:widowControl w:val="false"/>
      <w:spacing w:lineRule="auto" w:line="286" w:before="0" w:after="360"/>
    </w:pPr>
    <w:rPr>
      <w:rFonts w:ascii="Times New Roman" w:hAnsi="Times New Roman" w:eastAsia="Times New Roman" w:cs="Times New Roman"/>
      <w:color w:val="2E2D2E"/>
      <w:sz w:val="28"/>
      <w:szCs w:val="2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</w:styles>
</file>

<file path=word/_rels/document.xml.rels><?xml version='1.0' encoding='UTF-8' standalone='yes'?>
<Relationships xmlns="http://schemas.openxmlformats.org/package/2006/relationships"><Relationship Id="rId21" Type="http://schemas.openxmlformats.org/officeDocument/2006/relationships/footer" Target="footer1.xm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2026-04-08T14:29:00Z</dcterms:created>
  <dc:creator>123</dc:creator>
  <dc:description/>
  <cp:keywords/>
  <dc:language>ru-RU</dc:language>
  <cp:lastModifiedBy>Пользователь</cp:lastModifiedBy>
  <cp:lastPrinted>2024-02-19T11:13:00Z</cp:lastPrinted>
  <dcterms:modified xsi:type="dcterms:W3CDTF">2026-04-08T15:50:00Z</dcterms:modified>
  <cp:revision>5</cp:revision>
  <dc:subject/>
  <dc:title/>
</cp:coreProperties>
</file>