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Отчет о работе</w:t>
      </w:r>
      <w:r>
        <w:rPr/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Бюджетно-плановой комиссии  ЦС </w:t>
      </w:r>
    </w:p>
    <w:p>
      <w:pPr>
        <w:pStyle w:val="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Всероссийского профсоюза работников РАН в 2025 г.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В 2025 г. состоялось три заседания БПК.</w:t>
      </w:r>
    </w:p>
    <w:p>
      <w:pPr>
        <w:pStyle w:val="Normal"/>
        <w:spacing w:lineRule="auto" w:line="360"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1.</w:t>
      </w:r>
      <w:r>
        <w:rPr>
          <w:rFonts w:cs="Times New Roman" w:ascii="Times New Roman" w:hAnsi="Times New Roman"/>
          <w:b/>
          <w:sz w:val="28"/>
          <w:szCs w:val="28"/>
        </w:rPr>
        <w:t>12.02.2025 г.</w:t>
      </w:r>
      <w:r>
        <w:rPr>
          <w:rFonts w:cs="Times New Roman" w:ascii="Times New Roman" w:hAnsi="Times New Roman"/>
          <w:sz w:val="28"/>
          <w:szCs w:val="28"/>
        </w:rPr>
        <w:t xml:space="preserve"> Заседание Бюджетно-плановой комиссии от с повесткой :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Утверждение исполнения сметы 2024 г.</w:t>
      </w:r>
    </w:p>
    <w:p>
      <w:pPr>
        <w:pStyle w:val="Normal"/>
        <w:spacing w:lineRule="auto" w:line="360" w:before="0" w:after="0"/>
        <w:ind w:start="720" w:end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2. Корректировка проекта сметы 2025 г. в части переходящего остатка с 2024 г и, соответственно, увеличении доходной части Сметы, увеличении планируемого переходящего остатка на 2026 г., увеличении статьи 11. «Оплата труда.»</w:t>
      </w:r>
    </w:p>
    <w:p>
      <w:pPr>
        <w:pStyle w:val="Normal"/>
        <w:spacing w:lineRule="auto" w:line="360" w:before="0" w:after="0"/>
        <w:ind w:start="720" w:end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3.Разное. (обращение А.Н.Зиновьева (рассылалось), обращение Е.Онищенко (устные предложения без конкретики по поддержке участия в ЦС представителей ППО и по доп. финансированию молодежной комиссии, положение о материальной помощи - А.П.Филиппов)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 первому вопросу повестки дня: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Утвердить исполнение Сметы 2024 г. в части: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доходы от поступления членских профсоюзных взносов в размере 17 618,2 тыс.руб.</w:t>
      </w:r>
    </w:p>
    <w:p>
      <w:pPr>
        <w:pStyle w:val="Normal"/>
        <w:spacing w:lineRule="auto" w:line="360" w:before="0" w:after="0"/>
        <w:ind w:start="720" w:end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- утвердить переходящий остаток Сметы на 2024 г. в размере – 5 041,4  тыс.руб.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доходы от размещения свободных средств в размере 225,4 тыс.руб.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целевой  взнос в размере 20 тыс.руб.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итого доходы в размере 22 905,0 тыс.руб.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 второму вопросу повестки дня:</w:t>
      </w:r>
    </w:p>
    <w:p>
      <w:pPr>
        <w:pStyle w:val="Normal"/>
        <w:spacing w:lineRule="auto" w:line="360" w:before="0" w:after="0"/>
        <w:ind w:start="720" w:end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2. Утвердить расходы Сметы 2024 г. в размере – 17 087,3 тыс.руб.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 xml:space="preserve">- утвердить переходящий остаток Сметы 2024 г. в размере – 5 817,7  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</w:t>
      </w:r>
      <w:r>
        <w:rPr>
          <w:rFonts w:cs="Times New Roman" w:ascii="Times New Roman" w:hAnsi="Times New Roman"/>
          <w:sz w:val="28"/>
          <w:szCs w:val="28"/>
        </w:rPr>
        <w:t>тыс.руб.</w:t>
      </w:r>
    </w:p>
    <w:p>
      <w:pPr>
        <w:pStyle w:val="Normal"/>
        <w:spacing w:lineRule="auto" w:line="360" w:before="0" w:after="0"/>
        <w:ind w:start="720" w:end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Внести коррективы в смету 2025 г., принятую на декабрьском заседании Президиума (18-19 декабря 2024 г. Постановление  № 19-02):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ДОХОДНАЯ часть.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установить переходящий остаток сметы с 2024 г.  в сумме – 5 818 тыс. руб.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установить доходы от поступления членских взносов в 2025 г. в сумме – 17 500 тыс. руб.</w:t>
      </w:r>
    </w:p>
    <w:p>
      <w:pPr>
        <w:pStyle w:val="Normal"/>
        <w:spacing w:lineRule="auto" w:line="360" w:before="0" w:after="0"/>
        <w:ind w:start="720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установить доходы Сметы в 2025 г. в сумме - 23 668 тыс. руб</w:t>
      </w:r>
    </w:p>
    <w:p>
      <w:pPr>
        <w:pStyle w:val="Normal"/>
        <w:spacing w:lineRule="auto" w:line="360" w:before="0" w:after="0"/>
        <w:rPr/>
      </w:pPr>
      <w:r>
        <w:rPr>
          <w:rFonts w:cs="Times New Roman" w:ascii="Times New Roman" w:hAnsi="Times New Roman"/>
          <w:sz w:val="28"/>
          <w:szCs w:val="28"/>
        </w:rPr>
        <w:t>На рассмотрение БПК был поставлен вопрос об увеличении ряда статей  РАСХОДНОЙ части сметы 2025 г. В результате рассмотрения была утверждена РАСХОДНАЯ части Сметы в сумме 21 480 тыс. руб.: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    </w:t>
      </w:r>
      <w:r>
        <w:rPr>
          <w:rFonts w:cs="Times New Roman" w:ascii="Times New Roman" w:hAnsi="Times New Roman"/>
          <w:sz w:val="28"/>
          <w:szCs w:val="28"/>
        </w:rPr>
        <w:t>- установить статью Расходы Сметы  в сумме – 21 480 тыс.руб.</w:t>
      </w:r>
    </w:p>
    <w:p>
      <w:pPr>
        <w:pStyle w:val="Normal"/>
        <w:spacing w:lineRule="auto" w:line="360" w:before="0" w:after="0"/>
        <w:ind w:firstLine="709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</w:t>
      </w:r>
      <w:r>
        <w:rPr>
          <w:rFonts w:cs="Times New Roman" w:ascii="Times New Roman" w:hAnsi="Times New Roman"/>
          <w:sz w:val="28"/>
          <w:szCs w:val="28"/>
        </w:rPr>
        <w:t>- установить планируемы остаток Сметы на конец 2025 г.  в сумме – 2 188 тыс.руб.</w:t>
      </w:r>
    </w:p>
    <w:p>
      <w:pPr>
        <w:pStyle w:val="Normal"/>
        <w:spacing w:lineRule="auto" w:line="360" w:before="0" w:after="0"/>
        <w:ind w:firstLine="709" w:end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Были рассмотрены предложения по рекомендациям Президиуму ЦС по оплате труда, представленные А.Н.Зиновьевым. Комиссия предложила разослать предложения по профсоюзным организациям с целью выяснения финансовых возможностей  организаций в свете сделанных предложений и их мнений по этому вопросу.</w:t>
      </w:r>
    </w:p>
    <w:p>
      <w:pPr>
        <w:pStyle w:val="Normal"/>
        <w:spacing w:lineRule="auto" w:line="360" w:before="0" w:after="0"/>
        <w:ind w:firstLine="709" w:end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Было предложено А.П.Филиппову исполнить ранее данное поручение по подготовке Положения о выплате материальной помощи из средств ЦС.</w:t>
      </w:r>
    </w:p>
    <w:p>
      <w:pPr>
        <w:pStyle w:val="Normal"/>
        <w:spacing w:lineRule="auto" w:line="360" w:before="0" w:after="0"/>
        <w:ind w:firstLine="709" w:end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>В связи с выходом из состава комиссии бывшего секретаря БПК Егоровой Ю.С. председателю БПК предложено подобрать новую кандидатуру на позицию секретаря комиссии.</w:t>
      </w:r>
    </w:p>
    <w:p>
      <w:pPr>
        <w:pStyle w:val="Normal"/>
        <w:spacing w:lineRule="auto" w:line="360" w:before="0" w:after="0"/>
        <w:ind w:firstLine="709" w:end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 xml:space="preserve">Сметы, протокол заседания БПК, проекты постановлений Президиума ЦС по решениям, принятым БПК были представлены Президиуму ЦС  к заседанию Президиума 20.02.2025 г.   </w:t>
      </w:r>
    </w:p>
    <w:p>
      <w:pPr>
        <w:pStyle w:val="Normal"/>
        <w:spacing w:lineRule="auto" w:line="360" w:before="0" w:after="0"/>
        <w:contextualSpacing/>
        <w:rPr/>
      </w:pPr>
      <w:r>
        <w:rPr>
          <w:rFonts w:cs="Times New Roman" w:ascii="Times New Roman" w:hAnsi="Times New Roman"/>
          <w:sz w:val="28"/>
          <w:szCs w:val="28"/>
        </w:rPr>
        <w:t xml:space="preserve">2. </w:t>
      </w:r>
      <w:r>
        <w:rPr>
          <w:rFonts w:cs="Times New Roman" w:ascii="Times New Roman" w:hAnsi="Times New Roman"/>
          <w:b/>
          <w:sz w:val="28"/>
          <w:szCs w:val="28"/>
        </w:rPr>
        <w:t>26.05.2025 г.</w:t>
      </w:r>
      <w:r>
        <w:rPr>
          <w:rFonts w:cs="Times New Roman" w:ascii="Times New Roman" w:hAnsi="Times New Roman"/>
          <w:sz w:val="28"/>
          <w:szCs w:val="28"/>
        </w:rPr>
        <w:t xml:space="preserve"> Заседание Бюджетно-плановой комиссии от с повесткой :</w:t>
      </w:r>
    </w:p>
    <w:p>
      <w:pPr>
        <w:pStyle w:val="Normal"/>
        <w:tabs>
          <w:tab w:val="clear" w:pos="708"/>
          <w:tab w:val="left" w:pos="426" w:leader="none"/>
        </w:tabs>
        <w:spacing w:lineRule="auto" w:line="360" w:before="0" w:after="0"/>
        <w:ind w:start="1135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1.Рассмотрение ситуации с перечислением членских взносов от   </w:t>
      </w:r>
    </w:p>
    <w:p>
      <w:pPr>
        <w:pStyle w:val="Normal"/>
        <w:tabs>
          <w:tab w:val="clear" w:pos="708"/>
          <w:tab w:val="left" w:pos="426" w:leader="none"/>
        </w:tabs>
        <w:spacing w:lineRule="auto" w:line="360" w:before="0" w:after="0"/>
        <w:ind w:hanging="633" w:start="993" w:end="0"/>
        <w:contextualSpacing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      </w:t>
      </w:r>
      <w:r>
        <w:rPr>
          <w:rFonts w:cs="Times New Roman" w:ascii="Times New Roman" w:hAnsi="Times New Roman"/>
          <w:sz w:val="28"/>
          <w:szCs w:val="28"/>
        </w:rPr>
        <w:t>профорганизаций, входящих в состав Всероссийского профсоюза работников РАН. Анализ заявленной численности профорганизаций.</w:t>
      </w:r>
    </w:p>
    <w:p>
      <w:pPr>
        <w:pStyle w:val="Normal"/>
        <w:spacing w:lineRule="auto" w:line="360" w:before="0" w:after="0"/>
        <w:ind w:start="993" w:end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2.Рассмотрение ситуации с самовольной оплатой участия члена Томской территориальной организации Колоткова Г.А. из средств Профсоюза Ивлевым Г.А.</w:t>
      </w:r>
    </w:p>
    <w:p>
      <w:pPr>
        <w:pStyle w:val="Normal"/>
        <w:spacing w:lineRule="auto" w:line="360" w:before="0" w:after="0"/>
        <w:ind w:start="993" w:end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3.Разное.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b/>
          <w:sz w:val="28"/>
          <w:szCs w:val="28"/>
        </w:rPr>
        <w:t>По первому пункту ПОВЕСТКИ: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</w:t>
        <w:tab/>
        <w:t>Рассмотрение ситуации с перечислением членских взносов от профорганизаций, входящих в состав Всероссийского профсоюза работников РАН. Анализ заявленной численности профорганизаций.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  </w:t>
      </w:r>
      <w:r>
        <w:rPr>
          <w:rFonts w:cs="Times New Roman" w:ascii="Times New Roman" w:hAnsi="Times New Roman"/>
          <w:sz w:val="28"/>
          <w:szCs w:val="28"/>
        </w:rPr>
        <w:t>Рассмотрев представленные в БПК данные по численности профсоюзных организаций всех уровней, входящих в состав Всероссийского профсоюза работников РАН и перечисление ими членских профсоюзных взносов (5%) в адрес Профсоюза,  БПК комиссия констатирует: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1.1. Из данных по территориальным организациям следует, что резко упали перечисления денег в адрес Профсоюза от следующих организаций: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Томская ТО с 501 624 руб. (2023 г.) до 274 975 руб. (2024 г.) при уменьшении численности членов профсоюза с 1 221 чл. до 1 056 чл., что соответствует уменьшению средней з/п. с 68 471 руб. до 43 399 руб.;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Крымская ТО с 238 500 руб. (2023 г.) до 171 975 руб. (2024 г.) при уменьшении численности членов профсоюза с 678 чл. до 668 чл., что соответствует уменьшению средней з/п. с 58 628 руб. до 42 715 руб.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1.2. Из данных по первичным организациям следует, что резко упали перечисления денег в адрес Профсоюза от следующих организаций: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ПО аппарата ПРОФ. с 84 350 руб. (2023 г.) до 4 089 руб. (2024 г.) при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росте численности членов профсоюза с 19 чл. до 20 чл., что соответствует уменьшению средней з/п. с 739 912 руб. до 34 075 руб. 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       </w:t>
      </w:r>
      <w:r>
        <w:rPr>
          <w:rFonts w:cs="Times New Roman" w:ascii="Times New Roman" w:hAnsi="Times New Roman"/>
          <w:sz w:val="28"/>
          <w:szCs w:val="28"/>
        </w:rPr>
        <w:t>БПК отмечает, что более высокий уровень финансовой дисциплины и прозрачность с поступлением денег имеет место у первичных организаций, чем у территориальных и региональных. Например, ППО, не входящие в Дальневосточная региональная организация)  показывают среднюю з/п. на уровне существенно больше 100 000 руб., в то время как в ДВО – менее 70 000 руб. Что кажется более чем странным (ДВО РО к заседанию БПК представила таблицу помесячных перечислений в ее адрес профсоюзных взносов и начисленных к перечислению в адрес Профсоюза средств. Т.о.,  объем начисленных средств вырос до 839 156 руб. вместо показанных в отчете КРК – 557 059 руб. Имеющийся долг перед Профсоюзом погашается).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Кроме того, практически все ППО показывают в среднем более высокий уровень з.п., чем территориальные и региональные организации.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БПК отмечает случаи несвоевременного перечисления организациями членских взносов в адрес Профсоюза и рекомендует обязать организации погашать возникающие задолженности до проведения проверки Профсоюза КРК. Рекомендация ставится на голосование.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ab/>
        <w:t>Вопрос был поставлен на голосование. Результаты голосования – единогласно «за». Решение принято.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ab/>
        <w:t>По первому пункту Повестки предложено  запросить у организаций, указанных в п.1.1. и 1.2. ( Томская ТО, Крымская ТО, ПО аппарата Профсоюза) исполнение смет доходов/расходов организаций за 2023, 2024 гг.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          </w:t>
      </w:r>
      <w:r>
        <w:rPr>
          <w:rFonts w:cs="Times New Roman" w:ascii="Times New Roman" w:hAnsi="Times New Roman"/>
          <w:b/>
          <w:sz w:val="28"/>
          <w:szCs w:val="28"/>
        </w:rPr>
        <w:t>По второму пункту ПОВЕСТКИ: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2.</w:t>
        <w:tab/>
        <w:t>Рассмотрение ситуации с самовольной оплатой проезда члена Томской территориальной организации Колоткова Г.А. из средств Профсоюза Ивлевым Г.А.</w:t>
      </w:r>
    </w:p>
    <w:p>
      <w:pPr>
        <w:pStyle w:val="Normal"/>
        <w:spacing w:lineRule="auto" w:line="360" w:before="0" w:after="0"/>
        <w:ind w:firstLine="709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адрес БПК поступило следующее обращение от Председателя профсоюза: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"Прошу рассмотреть на Бюджетно-плановой комиссии присланные документы по компенсации проезда Колоткову Г.А. с учетом того, что Ивлев Г.А. в прошлом году недоперечислил 30 000 руб. (с комментарием, что данная сумма удержана за проезд Колоткова Г.А., в оплате которого ранее было отказано) мною предлагается учесть этот факт и компенсировать оставшуюся сумму, за вычетом 30 000 руб., а именно 15 030 руб.</w:t>
      </w:r>
    </w:p>
    <w:p>
      <w:pPr>
        <w:pStyle w:val="Normal"/>
        <w:spacing w:lineRule="auto" w:line="360" w:before="0" w:after="0"/>
        <w:ind w:firstLine="709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Если БПК примет решение компенсировать полностью поездку Г.А. Колоткову, не смотря на нарушение Г.А. Ивлева, прошу прислать выписку из протокола БПК по этому решению.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 уважением, Галина Викторовна Чучева".</w:t>
      </w:r>
    </w:p>
    <w:p>
      <w:pPr>
        <w:pStyle w:val="Normal"/>
        <w:spacing w:lineRule="auto" w:line="360" w:before="0" w:after="0"/>
        <w:ind w:firstLine="709" w:end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БПК рассмотрела обращение Председателя Профсоюза и констатирует следующее:</w:t>
      </w:r>
    </w:p>
    <w:p>
      <w:pPr>
        <w:pStyle w:val="Normal"/>
        <w:spacing w:lineRule="auto" w:line="360" w:before="0" w:after="0"/>
        <w:ind w:firstLine="709" w:end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Томская ТО (председатель Ивлев Г.А.) самовольно недоперечислила членские взносы в адрес Профсоюза в объеме 30 000 руб. в 2024 г., компенсируя тем самым оплату проезда члена ЦС Колоткова Г.А. На данный момент есть ходатайство от ТТО с просьбой компенсации проезда Колоткова Г.А., участвовавшего в заседаниях ЦС 22-24 апреля 2025г в размере 45 420 руб.</w:t>
      </w:r>
    </w:p>
    <w:p>
      <w:pPr>
        <w:pStyle w:val="Normal"/>
        <w:spacing w:lineRule="auto" w:line="360" w:before="0" w:after="0"/>
        <w:ind w:firstLine="709" w:end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БПК комиссия считает, что Правилами, утвержденными ЦС, членам ЦС компенсируются транспортные расходы по каждой второй поездке для участия в работе Совета. Отступление от этих правил, возможно только с согласия Председателя Профсоюза, как распорядителя деньгами Профсоюза в рамках утвержденной сметы. Недоперечисление денег в адрес Профсоюза является нарушением Устава Профсоюза. Как следует из обращения Председателя Профсоюза, ранее ТТО обращалась с просьбой о компенсации, но ей было  этом отказано.</w:t>
      </w:r>
    </w:p>
    <w:p>
      <w:pPr>
        <w:pStyle w:val="Normal"/>
        <w:spacing w:lineRule="auto" w:line="360" w:before="0" w:after="0"/>
        <w:ind w:firstLine="709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БПК считает: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 что при проведении компенсационных выплат за проезд членов ЦС от Томской ТО (см. Ходатайство) необходимо учесть самовольное недоперечисление денег ТТО в адрес Профсоюза и предлагает провести компенсацию проезда с учетом недоперечисленных денег исходя их действующих правил;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неприемлемой практику проведения всякого рода самовольных удержаний и взаимозачетов без санкционирования со стороны распорядителя денежными средствами Профсоюза - Председателя Профсоюза.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- что в случае нарушения финансовой дисциплины организациями, входящими в Профсоюз, приостанавливать выплату компенсаций за участие в работе ЦС членам ЦС от этих организаций до момента полного погашения задолженностей.</w:t>
      </w:r>
    </w:p>
    <w:p>
      <w:pPr>
        <w:pStyle w:val="Normal"/>
        <w:spacing w:lineRule="auto" w:line="360" w:before="0" w:after="0"/>
        <w:ind w:firstLine="709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Протокол заседания БПК и принятые БПК решения  были представлены в адрес Профсоюза.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 xml:space="preserve">3. </w:t>
      </w:r>
      <w:r>
        <w:rPr>
          <w:rFonts w:cs="Times New Roman" w:ascii="Times New Roman" w:hAnsi="Times New Roman"/>
          <w:b/>
          <w:sz w:val="28"/>
          <w:szCs w:val="28"/>
        </w:rPr>
        <w:t>17.12.2025 г.</w:t>
      </w:r>
      <w:r>
        <w:rPr>
          <w:rFonts w:cs="Times New Roman" w:ascii="Times New Roman" w:hAnsi="Times New Roman"/>
          <w:sz w:val="28"/>
          <w:szCs w:val="28"/>
        </w:rPr>
        <w:t xml:space="preserve"> заседание Бюджетно-плановой комиссии с повесткой:</w:t>
      </w:r>
    </w:p>
    <w:p>
      <w:pPr>
        <w:pStyle w:val="Normal"/>
        <w:spacing w:lineRule="auto" w:line="360" w:before="0" w:after="0"/>
        <w:ind w:start="709" w:end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1.Информация об исполнении сметы за 2025 г. по состоянию на 05.12.2024г.</w:t>
      </w:r>
    </w:p>
    <w:p>
      <w:pPr>
        <w:pStyle w:val="Normal"/>
        <w:spacing w:lineRule="auto" w:line="360" w:before="0" w:after="0"/>
        <w:ind w:start="709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2.Проект сметы ДОХОДОВ-РАСХОДОВ Всероссийского профессионального союза работников РАН на 2026 г. </w:t>
      </w:r>
    </w:p>
    <w:p>
      <w:pPr>
        <w:pStyle w:val="Normal"/>
        <w:spacing w:lineRule="auto" w:line="360" w:before="0" w:after="0"/>
        <w:ind w:start="709" w:end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По первому пункту Повестки:</w:t>
      </w:r>
    </w:p>
    <w:p>
      <w:pPr>
        <w:pStyle w:val="Normal"/>
        <w:spacing w:lineRule="auto" w:line="360" w:before="0" w:after="0"/>
        <w:ind w:firstLine="709" w:end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На рассмотрение комиссии представлено исполнение сметы ДОХОДОВ-РАСХОДОВ Всероссийского профессионального союза работников РАН на 2025 г. по состоянию на 05 декабря 2025 г.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Исполнение ДОХОДОВ-РАСХОДОВ идет в соответствии с планом.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Комиссия приняла информацию к сведению.</w:t>
      </w:r>
    </w:p>
    <w:p>
      <w:pPr>
        <w:pStyle w:val="Normal"/>
        <w:spacing w:lineRule="auto" w:line="360" w:before="0" w:after="0"/>
        <w:ind w:firstLine="709" w:end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По второму вопросу Повестки: </w:t>
      </w:r>
    </w:p>
    <w:p>
      <w:pPr>
        <w:pStyle w:val="Normal"/>
        <w:spacing w:lineRule="auto" w:line="360" w:before="0" w:after="0"/>
        <w:ind w:firstLine="709" w:end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На рассмотрение комиссии представлен Проект сметы ДОХОДОВ-РАСХОДОВ Всероссийского профессионального союза работников РАН на 2026 г. По результатам рассмотрения исполнения сметы 2025 г. предложено утвердить остаток средств сметы 2025 г в размере 5 800 тыс. руб. и внести его в смету 2026 г.</w:t>
      </w:r>
    </w:p>
    <w:p>
      <w:pPr>
        <w:pStyle w:val="Normal"/>
        <w:spacing w:lineRule="auto" w:line="360" w:before="0" w:after="0"/>
        <w:ind w:firstLine="709" w:end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По результатам рассмотрения исполнения сметы 2025 г. и прогноза по доходам профсоюза в 2026 г. установить доходы сметы 2026 г. от поступления членских взносов в размере 18 000 тыс. руб.</w:t>
      </w:r>
    </w:p>
    <w:p>
      <w:pPr>
        <w:pStyle w:val="Normal"/>
        <w:spacing w:lineRule="auto" w:line="360" w:before="0" w:after="0"/>
        <w:ind w:firstLine="709" w:end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Комиссия рассмотрела возможные доходы от размещения свободных средств на банковских депозитах (или с использованием неснижаемого остатка). Предложено установить доходы в размере 350 тыс. руб.</w:t>
      </w:r>
    </w:p>
    <w:p>
      <w:pPr>
        <w:pStyle w:val="Normal"/>
        <w:spacing w:lineRule="auto" w:line="36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Т.о., доходы сметы сформированы в размере 24 150 тыс. руб.</w:t>
      </w:r>
    </w:p>
    <w:p>
      <w:pPr>
        <w:pStyle w:val="Normal"/>
        <w:spacing w:lineRule="auto" w:line="360" w:before="0" w:after="0"/>
        <w:ind w:firstLine="709" w:end="0"/>
        <w:jc w:val="both"/>
        <w:rPr/>
      </w:pPr>
      <w:r>
        <w:rPr>
          <w:rFonts w:cs="Times New Roman" w:ascii="Times New Roman" w:hAnsi="Times New Roman"/>
          <w:b/>
          <w:sz w:val="28"/>
          <w:szCs w:val="28"/>
        </w:rPr>
        <w:t>По второму вопросу повестки дня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rmal"/>
        <w:spacing w:lineRule="auto" w:line="360" w:before="0" w:after="0"/>
        <w:ind w:firstLine="709" w:end="0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БПК предложила проект сметы расходов. Проект сметы предполагает расходы в объеме 22 122 тыс. руб. и планируемый остаток в объеме 2 028 тыс. руб.</w:t>
      </w:r>
    </w:p>
    <w:p>
      <w:pPr>
        <w:pStyle w:val="Normal"/>
        <w:spacing w:lineRule="auto" w:line="360" w:before="0" w:after="0"/>
        <w:ind w:firstLine="709" w:end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Сметы, протокол заседания БПК, проекты постановлений Президиума ЦС по решениям, принятым БПК были представлены Президиуму ЦС  к заседанию Президиума 23.12.2025 г.   </w:t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/>
        <w:jc w:val="end"/>
        <w:rPr/>
      </w:pPr>
      <w:r>
        <w:rPr>
          <w:rFonts w:cs="Times New Roman" w:ascii="Times New Roman" w:hAnsi="Times New Roman"/>
          <w:i/>
          <w:iCs/>
          <w:sz w:val="28"/>
          <w:szCs w:val="28"/>
        </w:rPr>
        <w:t>Председатель Бюджетно-плановой комиссии ЦС Профсоюза работников РАН</w:t>
        <w:br/>
        <w:t>В.А. Картошкин</w:t>
      </w:r>
    </w:p>
    <w:sectPr>
      <w:footerReference w:type="default" r:id="rId21"/>
      <w:footerReference w:type="first" r:id="rId22"/>
      <w:type w:val="nextPage"/>
      <w:pgSz w:w="11906" w:h="16838"/>
      <w:pgMar w:left="1701" w:right="850" w:gutter="0" w:header="0" w:top="567" w:footer="0" w:bottom="709"/>
      <w:pgNumType w:start="0"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Wingdings">
    <w:charset w:val="02"/>
    <w:family w:val="auto"/>
    <w:pitch w:val="variable"/>
  </w:font>
  <w:font w:name="Courier New">
    <w:charset w:val="cc"/>
    <w:family w:val="modern"/>
    <w:pitch w:val="default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end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43</w:t>
    </w:r>
    <w:r>
      <w:rPr/>
      <w:fldChar w:fldCharType="end"/>
    </w:r>
  </w:p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ascii="Calibri" w:hAnsi="Calibri" w:cs="Calibri"/>
        <w:sz w:val="22"/>
      </w:rPr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rFonts w:cs="Times New Roman"/>
        <w:b/>
      </w:rPr>
    </w:lvl>
  </w:abstractNum>
  <w:abstractNum w:abstractNumId="7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%1."/>
      <w:lvlJc w:val="start"/>
      <w:pPr>
        <w:tabs>
          <w:tab w:val="num" w:pos="0"/>
        </w:tabs>
        <w:ind w:start="1647" w:hanging="360"/>
      </w:pPr>
    </w:lvl>
  </w:abstractNum>
  <w:abstractNum w:abstractNumId="12">
    <w:lvl w:ilvl="0">
      <w:start w:val="1"/>
      <w:numFmt w:val="decimal"/>
      <w:lvlText w:val="%1."/>
      <w:lvlJc w:val="start"/>
      <w:pPr>
        <w:tabs>
          <w:tab w:val="num" w:pos="0"/>
        </w:tabs>
        <w:ind w:start="427" w:hanging="360"/>
      </w:pPr>
      <w:rPr>
        <w:b w:val="false"/>
        <w:i w:val="false"/>
        <w:spacing w:val="0"/>
        <w:w w:val="100"/>
        <w:lang w:bidi="ar-SA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566" w:hanging="140"/>
      </w:pPr>
      <w:rPr>
        <w:rFonts w:ascii="Times New Roman" w:hAnsi="Times New Roman" w:cs="Times New Roman" w:hint="default"/>
        <w:spacing w:val="0"/>
        <w:w w:val="100"/>
        <w:lang w:bidi="ar-SA"/>
      </w:rPr>
    </w:lvl>
    <w:lvl w:ilvl="2">
      <w:start w:val="0"/>
      <w:numFmt w:val="bullet"/>
      <w:lvlText w:val="•"/>
      <w:lvlJc w:val="start"/>
      <w:pPr>
        <w:tabs>
          <w:tab w:val="num" w:pos="0"/>
        </w:tabs>
        <w:ind w:start="1600" w:hanging="140"/>
      </w:pPr>
      <w:rPr>
        <w:rFonts w:ascii="Liberation Serif" w:hAnsi="Liberation Serif" w:cs="Liberation Serif" w:hint="default"/>
        <w:lang w:bidi="ar-SA"/>
      </w:rPr>
    </w:lvl>
    <w:lvl w:ilvl="3">
      <w:start w:val="0"/>
      <w:numFmt w:val="bullet"/>
      <w:lvlText w:val="•"/>
      <w:lvlJc w:val="start"/>
      <w:pPr>
        <w:tabs>
          <w:tab w:val="num" w:pos="0"/>
        </w:tabs>
        <w:ind w:start="2640" w:hanging="140"/>
      </w:pPr>
      <w:rPr>
        <w:rFonts w:ascii="Liberation Serif" w:hAnsi="Liberation Serif" w:cs="Liberation Serif" w:hint="default"/>
        <w:lang w:bidi="ar-SA"/>
      </w:rPr>
    </w:lvl>
    <w:lvl w:ilvl="4">
      <w:start w:val="0"/>
      <w:numFmt w:val="bullet"/>
      <w:lvlText w:val="•"/>
      <w:lvlJc w:val="start"/>
      <w:pPr>
        <w:tabs>
          <w:tab w:val="num" w:pos="0"/>
        </w:tabs>
        <w:ind w:start="3681" w:hanging="140"/>
      </w:pPr>
      <w:rPr>
        <w:rFonts w:ascii="Liberation Serif" w:hAnsi="Liberation Serif" w:cs="Liberation Serif" w:hint="default"/>
        <w:lang w:bidi="ar-SA"/>
      </w:rPr>
    </w:lvl>
    <w:lvl w:ilvl="5">
      <w:start w:val="0"/>
      <w:numFmt w:val="bullet"/>
      <w:lvlText w:val="•"/>
      <w:lvlJc w:val="start"/>
      <w:pPr>
        <w:tabs>
          <w:tab w:val="num" w:pos="0"/>
        </w:tabs>
        <w:ind w:start="4721" w:hanging="140"/>
      </w:pPr>
      <w:rPr>
        <w:rFonts w:ascii="Liberation Serif" w:hAnsi="Liberation Serif" w:cs="Liberation Serif" w:hint="default"/>
        <w:lang w:bidi="ar-SA"/>
      </w:rPr>
    </w:lvl>
    <w:lvl w:ilvl="6">
      <w:start w:val="0"/>
      <w:numFmt w:val="bullet"/>
      <w:lvlText w:val="•"/>
      <w:lvlJc w:val="start"/>
      <w:pPr>
        <w:tabs>
          <w:tab w:val="num" w:pos="0"/>
        </w:tabs>
        <w:ind w:start="5761" w:hanging="140"/>
      </w:pPr>
      <w:rPr>
        <w:rFonts w:ascii="Liberation Serif" w:hAnsi="Liberation Serif" w:cs="Liberation Serif" w:hint="default"/>
        <w:lang w:bidi="ar-SA"/>
      </w:rPr>
    </w:lvl>
    <w:lvl w:ilvl="7">
      <w:start w:val="0"/>
      <w:numFmt w:val="bullet"/>
      <w:lvlText w:val="•"/>
      <w:lvlJc w:val="start"/>
      <w:pPr>
        <w:tabs>
          <w:tab w:val="num" w:pos="0"/>
        </w:tabs>
        <w:ind w:start="6802" w:hanging="140"/>
      </w:pPr>
      <w:rPr>
        <w:rFonts w:ascii="Liberation Serif" w:hAnsi="Liberation Serif" w:cs="Liberation Serif" w:hint="default"/>
        <w:lang w:bidi="ar-SA"/>
      </w:rPr>
    </w:lvl>
    <w:lvl w:ilvl="8">
      <w:start w:val="0"/>
      <w:numFmt w:val="bullet"/>
      <w:lvlText w:val="•"/>
      <w:lvlJc w:val="start"/>
      <w:pPr>
        <w:tabs>
          <w:tab w:val="num" w:pos="0"/>
        </w:tabs>
        <w:ind w:start="7842" w:hanging="140"/>
      </w:pPr>
      <w:rPr>
        <w:rFonts w:ascii="Liberation Serif" w:hAnsi="Liberation Serif" w:cs="Liberation Serif" w:hint="default"/>
        <w:lang w:bidi="ar-SA"/>
      </w:rPr>
    </w:lvl>
  </w:abstractNum>
  <w:abstractNum w:abstractNumId="13">
    <w:lvl w:ilvl="0">
      <w:start w:val="1"/>
      <w:numFmt w:val="upperRoman"/>
      <w:lvlText w:val="%1."/>
      <w:lvlJc w:val="start"/>
      <w:pPr>
        <w:tabs>
          <w:tab w:val="num" w:pos="0"/>
        </w:tabs>
        <w:ind w:start="2138" w:hanging="720"/>
      </w:pPr>
      <w:rPr/>
    </w:lvl>
  </w:abstractNum>
  <w:abstractNum w:abstractNumId="14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5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6">
    <w:lvl w:ilvl="0">
      <w:start w:val="1"/>
      <w:numFmt w:val="bullet"/>
      <w:lvlText w:val="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bidi="ar-SA" w:val="ru-RU" w:eastAsia="zh-CN"/>
    </w:rPr>
  </w:style>
  <w:style w:type="character" w:styleId="WW8Num1z0">
    <w:name w:val="WW8Num1z0"/>
    <w:qFormat/>
    <w:rPr>
      <w:rFonts w:ascii="Wingdings" w:hAnsi="Wingdings" w:cs="Wingdings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3">
    <w:name w:val="WW8Num1z3"/>
    <w:qFormat/>
    <w:rPr>
      <w:rFonts w:ascii="Symbol" w:hAnsi="Symbol" w:cs="Symbol"/>
    </w:rPr>
  </w:style>
  <w:style w:type="character" w:styleId="WW8Num2z0">
    <w:name w:val="WW8Num2z0"/>
    <w:qFormat/>
    <w:rPr>
      <w:rFonts w:ascii="Wingdings" w:hAnsi="Wingdings" w:cs="Wingdings"/>
      <w:b/>
    </w:rPr>
  </w:style>
  <w:style w:type="character" w:styleId="WW8Num2z1">
    <w:name w:val="WW8Num2z1"/>
    <w:qFormat/>
    <w:rPr>
      <w:rFonts w:cs="Times New Roman"/>
    </w:rPr>
  </w:style>
  <w:style w:type="character" w:styleId="WW8Num3z0">
    <w:name w:val="WW8Num3z0"/>
    <w:qFormat/>
    <w:rPr>
      <w:rFonts w:ascii="Calibri" w:hAnsi="Calibri" w:cs="Calibri"/>
      <w:sz w:val="22"/>
    </w:rPr>
  </w:style>
  <w:style w:type="character" w:styleId="WW8Num4z0">
    <w:name w:val="WW8Num4z0"/>
    <w:qFormat/>
    <w:rPr>
      <w:rFonts w:ascii="Calibri" w:hAnsi="Calibri" w:cs="Calibri"/>
      <w:sz w:val="22"/>
    </w:rPr>
  </w:style>
  <w:style w:type="character" w:styleId="WW8Num5z0">
    <w:name w:val="WW8Num5z0"/>
    <w:qFormat/>
    <w:rPr>
      <w:rFonts w:ascii="Calibri" w:hAnsi="Calibri" w:cs="Calibri"/>
      <w:sz w:val="22"/>
    </w:rPr>
  </w:style>
  <w:style w:type="character" w:styleId="WW8Num6z0">
    <w:name w:val="WW8Num6z0"/>
    <w:qFormat/>
    <w:rPr>
      <w:sz w:val="24"/>
      <w:szCs w:val="24"/>
    </w:rPr>
  </w:style>
  <w:style w:type="character" w:styleId="WW8Num7z0">
    <w:name w:val="WW8Num7z0"/>
    <w:qFormat/>
    <w:rPr>
      <w:rFonts w:cs="Times New Roman"/>
      <w:b/>
    </w:rPr>
  </w:style>
  <w:style w:type="character" w:styleId="WW8Num7z1">
    <w:name w:val="WW8Num7z1"/>
    <w:qFormat/>
    <w:rPr>
      <w:rFonts w:cs="Times New Roman"/>
    </w:rPr>
  </w:style>
  <w:style w:type="character" w:styleId="WW8Num8z0">
    <w:name w:val="WW8Num8z0"/>
    <w:qFormat/>
    <w:rPr/>
  </w:style>
  <w:style w:type="character" w:styleId="WW8Num9z0">
    <w:name w:val="WW8Num9z0"/>
    <w:qFormat/>
    <w:rPr>
      <w:rFonts w:ascii="Wingdings" w:hAnsi="Wingdings" w:cs="Wingdings"/>
    </w:rPr>
  </w:style>
  <w:style w:type="character" w:styleId="WW8Num9z1">
    <w:name w:val="WW8Num9z1"/>
    <w:qFormat/>
    <w:rPr>
      <w:rFonts w:ascii="Courier New" w:hAnsi="Courier New" w:cs="Courier New"/>
    </w:rPr>
  </w:style>
  <w:style w:type="character" w:styleId="WW8Num9z3">
    <w:name w:val="WW8Num9z3"/>
    <w:qFormat/>
    <w:rPr>
      <w:rFonts w:ascii="Symbol" w:hAnsi="Symbol" w:cs="Symbol"/>
    </w:rPr>
  </w:style>
  <w:style w:type="character" w:styleId="WW8Num10z0">
    <w:name w:val="WW8Num10z0"/>
    <w:qFormat/>
    <w:rPr>
      <w:rFonts w:ascii="Calibri" w:hAnsi="Calibri" w:cs="Calibri"/>
    </w:rPr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Times New Roman" w:hAnsi="Times New Roman" w:eastAsia="Times New Roman" w:cs="Times New Roman"/>
    </w:rPr>
  </w:style>
  <w:style w:type="character" w:styleId="WW8Num14z1">
    <w:name w:val="WW8Num14z1"/>
    <w:qFormat/>
    <w:rPr>
      <w:rFonts w:ascii="Calibri" w:hAnsi="Calibri" w:cs="Calibri"/>
    </w:rPr>
  </w:style>
  <w:style w:type="character" w:styleId="WW8Num15z0">
    <w:name w:val="WW8Num15z0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3">
    <w:name w:val="WW8Num15z3"/>
    <w:qFormat/>
    <w:rPr>
      <w:rFonts w:ascii="Symbol" w:hAnsi="Symbol" w:cs="Symbol"/>
    </w:rPr>
  </w:style>
  <w:style w:type="character" w:styleId="WW8Num16z0">
    <w:name w:val="WW8Num16z0"/>
    <w:qFormat/>
    <w:rPr>
      <w:rFonts w:ascii="Wingdings" w:hAnsi="Wingdings" w:cs="Wingdings"/>
    </w:rPr>
  </w:style>
  <w:style w:type="character" w:styleId="WW8Num16z1">
    <w:name w:val="WW8Num16z1"/>
    <w:qFormat/>
    <w:rPr>
      <w:rFonts w:ascii="Courier New" w:hAnsi="Courier New" w:cs="Courier New"/>
    </w:rPr>
  </w:style>
  <w:style w:type="character" w:styleId="WW8Num16z3">
    <w:name w:val="WW8Num16z3"/>
    <w:qFormat/>
    <w:rPr>
      <w:rFonts w:ascii="Symbol" w:hAnsi="Symbol" w:cs="Symbol"/>
    </w:rPr>
  </w:style>
  <w:style w:type="character" w:styleId="WW8Num17z0">
    <w:name w:val="WW8Num17z0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3">
    <w:name w:val="WW8Num17z3"/>
    <w:qFormat/>
    <w:rPr>
      <w:rFonts w:ascii="Symbol" w:hAnsi="Symbol" w:cs="Symbol"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1z0">
    <w:name w:val="WW8Num21z0"/>
    <w:qFormat/>
    <w:rPr>
      <w:b w:val="false"/>
      <w:i w:val="false"/>
      <w:spacing w:val="0"/>
      <w:w w:val="100"/>
      <w:lang w:bidi="ar-SA"/>
    </w:rPr>
  </w:style>
  <w:style w:type="character" w:styleId="WW8Num21z1">
    <w:name w:val="WW8Num21z1"/>
    <w:qFormat/>
    <w:rPr>
      <w:rFonts w:ascii="Times New Roman" w:hAnsi="Times New Roman" w:eastAsia="Times New Roman" w:cs="Times New Roman"/>
      <w:spacing w:val="0"/>
      <w:w w:val="100"/>
      <w:lang w:bidi="ar-SA"/>
    </w:rPr>
  </w:style>
  <w:style w:type="character" w:styleId="WW8Num21z2">
    <w:name w:val="WW8Num21z2"/>
    <w:qFormat/>
    <w:rPr>
      <w:lang w:bidi="ar-SA"/>
    </w:rPr>
  </w:style>
  <w:style w:type="character" w:styleId="WW8Num22z0">
    <w:name w:val="WW8Num22z0"/>
    <w:qFormat/>
    <w:rPr/>
  </w:style>
  <w:style w:type="character" w:styleId="WW8Num23z0">
    <w:name w:val="WW8Num23z0"/>
    <w:qFormat/>
    <w:rPr/>
  </w:style>
  <w:style w:type="character" w:styleId="WW8Num24z0">
    <w:name w:val="WW8Num24z0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3">
    <w:name w:val="WW8Num24z3"/>
    <w:qFormat/>
    <w:rPr>
      <w:rFonts w:ascii="Symbol" w:hAnsi="Symbol" w:cs="Symbol"/>
    </w:rPr>
  </w:style>
  <w:style w:type="character" w:styleId="WW8Num25z0">
    <w:name w:val="WW8Num25z0"/>
    <w:qFormat/>
    <w:rPr>
      <w:rFonts w:ascii="Wingdings" w:hAnsi="Wingdings" w:cs="Wingdings"/>
    </w:rPr>
  </w:style>
  <w:style w:type="character" w:styleId="WW8Num25z1">
    <w:name w:val="WW8Num25z1"/>
    <w:qFormat/>
    <w:rPr>
      <w:rFonts w:ascii="Courier New" w:hAnsi="Courier New" w:cs="Courier New"/>
    </w:rPr>
  </w:style>
  <w:style w:type="character" w:styleId="WW8Num25z3">
    <w:name w:val="WW8Num25z3"/>
    <w:qFormat/>
    <w:rPr>
      <w:rFonts w:ascii="Symbol" w:hAnsi="Symbol" w:cs="Symbol"/>
    </w:rPr>
  </w:style>
  <w:style w:type="character" w:styleId="WW8Num26z0">
    <w:name w:val="WW8Num26z0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3">
    <w:name w:val="WW8Num26z3"/>
    <w:qFormat/>
    <w:rPr>
      <w:rFonts w:ascii="Symbol" w:hAnsi="Symbol" w:cs="Symbol"/>
    </w:rPr>
  </w:style>
  <w:style w:type="character" w:styleId="WW8Num27z0">
    <w:name w:val="WW8Num27z0"/>
    <w:qFormat/>
    <w:rPr>
      <w:rFonts w:cs="Times New Roman"/>
    </w:rPr>
  </w:style>
  <w:style w:type="character" w:styleId="WW8Num27z1">
    <w:name w:val="WW8Num27z1"/>
    <w:qFormat/>
    <w:rPr>
      <w:rFonts w:cs="Times New Roman"/>
    </w:rPr>
  </w:style>
  <w:style w:type="character" w:styleId="WW8Num28z0">
    <w:name w:val="WW8Num28z0"/>
    <w:qFormat/>
    <w:rPr/>
  </w:style>
  <w:style w:type="character" w:styleId="WW8Num29z0">
    <w:name w:val="WW8Num29z0"/>
    <w:qFormat/>
    <w:rPr/>
  </w:style>
  <w:style w:type="character" w:styleId="WW8Num30z0">
    <w:name w:val="WW8Num30z0"/>
    <w:qFormat/>
    <w:rPr>
      <w:b w:val="false"/>
      <w:bCs/>
    </w:rPr>
  </w:style>
  <w:style w:type="character" w:styleId="Style14">
    <w:name w:val="Основной шрифт абзаца"/>
    <w:qFormat/>
    <w:rPr/>
  </w:style>
  <w:style w:type="character" w:styleId="Hyperlink">
    <w:name w:val="Hyperlink"/>
    <w:rPr>
      <w:rFonts w:cs="Times New Roman"/>
      <w:color w:val="0000FF"/>
      <w:u w:val="single"/>
    </w:rPr>
  </w:style>
  <w:style w:type="character" w:styleId="Style15">
    <w:name w:val="Заголовок Знак"/>
    <w:qFormat/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fontstyle01">
    <w:name w:val="fontstyle01"/>
    <w:qFormat/>
    <w:rPr>
      <w:rFonts w:ascii="TimesNewRomanPSMT;Times New Roman" w:hAnsi="TimesNewRomanPSMT;Times New Roman" w:cs="TimesNewRomanPSMT;Times New Roman"/>
      <w:b w:val="false"/>
      <w:bCs w:val="false"/>
      <w:i w:val="false"/>
      <w:iCs w:val="false"/>
      <w:color w:val="000000"/>
      <w:sz w:val="24"/>
      <w:szCs w:val="24"/>
    </w:rPr>
  </w:style>
  <w:style w:type="character" w:styleId="fontstyle31">
    <w:name w:val="fontstyle31"/>
    <w:qFormat/>
    <w:rPr>
      <w:rFonts w:ascii="TimesNewRomanPSMT;Times New Roman" w:hAnsi="TimesNewRomanPSMT;Times New Roman" w:cs="Times New Roman"/>
      <w:color w:val="000000"/>
      <w:sz w:val="24"/>
      <w:szCs w:val="24"/>
    </w:rPr>
  </w:style>
  <w:style w:type="character" w:styleId="2">
    <w:name w:val="Основной текст (2)_"/>
    <w:qFormat/>
    <w:rPr>
      <w:rFonts w:ascii="Times New Roman" w:hAnsi="Times New Roman" w:eastAsia="Times New Roman" w:cs="Times New Roman"/>
      <w:color w:val="1E1C1F"/>
    </w:rPr>
  </w:style>
  <w:style w:type="character" w:styleId="Strong">
    <w:name w:val="Strong"/>
    <w:qFormat/>
    <w:rPr>
      <w:rFonts w:cs="Times New Roman"/>
      <w:b/>
    </w:rPr>
  </w:style>
  <w:style w:type="character" w:styleId="Style18">
    <w:name w:val="Основной текст_"/>
    <w:qFormat/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Heading">
    <w:name w:val="Heading"/>
    <w:basedOn w:val="Normal"/>
    <w:next w:val="Normal"/>
    <w:qFormat/>
    <w:pPr>
      <w:pBdr>
        <w:bottom w:val="single" w:sz="8" w:space="4" w:color="4F81BD"/>
      </w:pBdr>
      <w:spacing w:lineRule="auto" w:line="240" w:before="0" w:after="300"/>
      <w:ind w:firstLine="360" w:start="0" w:end="0"/>
      <w:contextualSpacing/>
    </w:pPr>
    <w:rPr>
      <w:rFonts w:ascii="Arial" w:hAnsi="Arial" w:eastAsia="Times New Roman" w:cs="Arial"/>
      <w:color w:val="17365D"/>
      <w:spacing w:val="5"/>
      <w:kern w:val="2"/>
      <w:sz w:val="52"/>
      <w:szCs w:val="52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Style19">
    <w:name w:val="Абзац списка"/>
    <w:basedOn w:val="Normal"/>
    <w:qFormat/>
    <w:pPr>
      <w:spacing w:lineRule="auto" w:line="240" w:before="0" w:after="0"/>
      <w:ind w:firstLine="360" w:start="720" w:end="0"/>
      <w:contextualSpacing/>
    </w:pPr>
    <w:rPr>
      <w:rFonts w:ascii="Times New Roman" w:hAnsi="Times New Roman" w:eastAsia="Times New Roman" w:cs="Calibri"/>
      <w:sz w:val="28"/>
    </w:rPr>
  </w:style>
  <w:style w:type="paragraph" w:styleId="msonormalmrcssattr">
    <w:name w:val="msonormal_mr_css_attr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HeaderandFooter">
    <w:name w:val="Header and Footer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21">
    <w:name w:val="Основной текст (2)"/>
    <w:basedOn w:val="Normal"/>
    <w:qFormat/>
    <w:pPr>
      <w:widowControl w:val="false"/>
      <w:spacing w:lineRule="auto" w:line="293" w:before="0" w:after="260"/>
      <w:ind w:hanging="0" w:start="780" w:end="0"/>
    </w:pPr>
    <w:rPr>
      <w:rFonts w:ascii="Times New Roman" w:hAnsi="Times New Roman" w:eastAsia="Times New Roman" w:cs="Times New Roman"/>
      <w:color w:val="1E1C1F"/>
      <w:sz w:val="20"/>
      <w:szCs w:val="20"/>
    </w:rPr>
  </w:style>
  <w:style w:type="paragraph" w:styleId="Style20">
    <w:name w:val="Обычный (Интернет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1">
    <w:name w:val="Основной текст1"/>
    <w:basedOn w:val="Normal"/>
    <w:qFormat/>
    <w:pPr>
      <w:widowControl w:val="false"/>
      <w:spacing w:lineRule="auto" w:line="286" w:before="0" w:after="360"/>
    </w:pPr>
    <w:rPr>
      <w:rFonts w:ascii="Times New Roman" w:hAnsi="Times New Roman" w:eastAsia="Times New Roman" w:cs="Times New Roman"/>
      <w:color w:val="2E2D2E"/>
      <w:sz w:val="28"/>
      <w:szCs w:val="2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</w:styles>
</file>

<file path=word/_rels/document.xml.rels><?xml version='1.0' encoding='UTF-8' standalone='yes'?>
<Relationships xmlns="http://schemas.openxmlformats.org/package/2006/relationships"><Relationship Id="rId21" Type="http://schemas.openxmlformats.org/officeDocument/2006/relationships/footer" Target="footer1.xm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2026-04-08T14:29:00Z</dcterms:created>
  <dc:creator>123</dc:creator>
  <dc:description/>
  <cp:keywords/>
  <dc:language>ru-RU</dc:language>
  <cp:lastModifiedBy>Пользователь</cp:lastModifiedBy>
  <cp:lastPrinted>2024-02-19T11:13:00Z</cp:lastPrinted>
  <dcterms:modified xsi:type="dcterms:W3CDTF">2026-04-08T15:50:00Z</dcterms:modified>
  <cp:revision>5</cp:revision>
  <dc:subject/>
  <dc:title/>
</cp:coreProperties>
</file>