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Отчет о работе</w:t>
      </w:r>
      <w:r>
        <w:rPr/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Спортивной комиссии  ЦС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Всероссийского профсоюза работников РАН в 2025 г.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2025 г. Спортивной комиссией ЦС Профсоюза работников РАН проведено четыре Всероссийские Академиады РАН. 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Среди участников научные сотрудники, инженерно-технические работники и аспиранты, кандидаты и доктора наук, сотрудники административно-управленческого сектора, заведующие лабораториями и отделами, заместители директора и Академик, разрядники, кандидаты и мастера спорта СССР, России, победители всероссийских и международных соревнований, ветеранских чемпионатов мира и олимпийских игр в различных видах спорта.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Совместно проведено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две зимние Академиады в г. Байкальск (Иркутская обл.)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10 - 15 марта 2025г.)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before="0" w:after="0"/>
        <w:ind w:firstLine="426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Организаторами зимних Академиад выступили Профсоюз работников РАН и Иркутская территориальная общественная организация Всероссийского профессионального союза работников РАН.</w:t>
      </w:r>
    </w:p>
    <w:p>
      <w:pPr>
        <w:pStyle w:val="Normal"/>
        <w:spacing w:before="0" w:after="0"/>
        <w:ind w:firstLine="426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Суммарное количество участников составило порядка 120 человек.</w:t>
      </w:r>
    </w:p>
    <w:p>
      <w:pPr>
        <w:pStyle w:val="Normal"/>
        <w:spacing w:before="0" w:after="0"/>
        <w:ind w:firstLine="426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0"/>
        <w:ind w:firstLine="426" w:end="0"/>
        <w:jc w:val="both"/>
        <w:rPr>
          <w:rFonts w:ascii="Times New Roman" w:hAnsi="Times New Roman" w:eastAsia="Times New Roman" w:cs="Times New Roman"/>
          <w:strike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en-US" w:eastAsia="ru-RU"/>
        </w:rPr>
        <w:t>VIII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 xml:space="preserve"> Всероссийская Академиада РАН по горнолыжному спорту и сноуборду: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Соревнования на горе Соболиная г. Байкальска собрали спортсменов из академических институтов Новосибирска, Томска, Красноярска, Иркутска, Москвы, Нижнего Архыза и Нижнего Новгорода.</w:t>
      </w:r>
    </w:p>
    <w:p>
      <w:pPr>
        <w:pStyle w:val="Normal"/>
        <w:spacing w:before="0" w:after="0"/>
        <w:ind w:firstLine="426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0"/>
        <w:ind w:firstLine="426" w:end="0"/>
        <w:jc w:val="both"/>
        <w:rPr>
          <w:rFonts w:ascii="Times New Roman" w:hAnsi="Times New Roman" w:eastAsia="Times New Roman" w:cs="Times New Roman"/>
          <w:strike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u w:val="single"/>
          <w:shd w:fill="FFFFFF" w:val="clear"/>
          <w:lang w:eastAsia="ru-RU"/>
        </w:rPr>
        <w:t>X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>Х Всероссийская лыжная Академиада РАН: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Соревнования на лыжной трассе г. Байкальска собрали порядка шестидесяти спортсменов от молодежи до заслуженных ветеранов – любителей лыжных гонок из академических институтов Москвы, Новосибирска, Иркутска, Сыктывкара, Уфы, Нижнего Новгорода, Казани, Томска, Красноярска.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Затраты на организацию и проведение двух зимних Академиад составили 400 000 рублей, в том числе затраты ЦС Профсоюза работников РАН составили 362 000 рублей, заложенные в смете ЦС.</w:t>
      </w:r>
    </w:p>
    <w:p>
      <w:pPr>
        <w:pStyle w:val="Normal"/>
        <w:spacing w:before="0" w:after="0"/>
        <w:ind w:firstLine="426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Отчеты и статьи о зимних Академиадах размещены на сайте Профсоюза работников РАН, региональных профсоюзных ресурсах и журнале Научное сообщество:</w:t>
      </w:r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3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https://profras.ru/bajkalskie-hroniki/</w:t>
        </w:r>
      </w:hyperlink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4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https://profras.ru/bajkalskie-virazhi/</w:t>
        </w:r>
      </w:hyperlink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5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https://profras.ru/akademiady/</w:t>
        </w:r>
      </w:hyperlink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6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https://vk.com/@krasnoyarsk.science-krasnoyarskii-etap-vnes-vklad-v-razvitie-akademiady-ran-po-g</w:t>
        </w:r>
      </w:hyperlink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7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http://ufaras.ru/?p=28188</w:t>
        </w:r>
      </w:hyperlink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hd w:fill="FFFFFF" w:val="clear"/>
        <w:spacing w:lineRule="auto" w:line="240" w:before="0" w:after="0"/>
        <w:ind w:firstLine="425" w:end="0"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>I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 xml:space="preserve"> Всероссийская Академиада РАН по настольному теннису «Профсоюзная ракетка-2025» (15-17 сентября 2025г., г. Саратов):</w:t>
      </w:r>
    </w:p>
    <w:p>
      <w:pPr>
        <w:pStyle w:val="Normal"/>
        <w:shd w:fill="FFFFFF" w:val="clear"/>
        <w:spacing w:lineRule="auto" w:line="240" w:before="0" w:after="0"/>
        <w:ind w:firstLine="425" w:end="0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Организатором теннисной Академиады выступили Профсоюз работников РАН и Саратовская территориальная общественная организация Всероссийского профессионального союза работников РАН. В соревновании приняли участие 4 команды из Саратова, Нижнего Новгорода, Новосибирска и сборной Перми - Новосибирска. Количество участников составило 35 человек. Академиада проходила в спорткомплексе «Кристалл».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Затраты на организацию и проведение соревнований составили 130 000 рублей, в том числе затраты ЦС Профсоюза работников РАН составили 108 000 руб., заложенные в смете.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Отчеты и статьи о зимних Академиадах размещены на сайте Профсоюза работников РАН, региональных профсоюзных ресурсах и журнале Научное сообщество: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8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https://stooprran.ru/news/2025/ii_acad_tennis_2025.html</w:t>
        </w:r>
      </w:hyperlink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9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https://profras.ru/akademiady/</w:t>
        </w:r>
      </w:hyperlink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0"/>
        <w:ind w:firstLine="567" w:end="0"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en-US" w:eastAsia="ru-RU"/>
        </w:rPr>
        <w:t>VII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 xml:space="preserve"> Всероссийская волейбольная академиада РАН по волейболу 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b/>
          <w:sz w:val="28"/>
          <w:szCs w:val="28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>(29 - 30 ноября 2025 г., г. Апрелевка, Московская область):</w:t>
      </w:r>
    </w:p>
    <w:p>
      <w:pPr>
        <w:pStyle w:val="Normal"/>
        <w:spacing w:before="0" w:after="0"/>
        <w:ind w:firstLine="567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Турнир,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проходивший в казанском спортивном комплексе «Мелодия»,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собрал рекордное количество участников: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120 спортсменов, 15 команд из 13 городов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(Москва (4 команды), Пущино, Черноголовка, Иваново, Н. Новгород, Саратов, Сыктывкар, Уфа, Екатеринбург, Новосибирск, Пермь, Казань и Иркутск).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Затраты на организацию и проведение соревнований составили 230 000 рублей, в том числе затраты ЦС Профсоюза работников РАН составили 180 000 руб., заложенные в смете.</w:t>
      </w:r>
    </w:p>
    <w:p>
      <w:pPr>
        <w:pStyle w:val="Normal"/>
        <w:spacing w:before="0" w:after="0"/>
        <w:ind w:firstLine="426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Отчеты и статьи о зимних Академиадах размещены на сайте Профсоюза работников РАН, региональных профсоюзных ресурсах и журнале Научное сообщество: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10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https://profras.ru/hroniki-volejbolnoj-akademiady/</w:t>
        </w:r>
      </w:hyperlink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11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https://profras.ru/akademiady/</w:t>
        </w:r>
      </w:hyperlink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12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https://www.ibch.ru/press/news/tu/5402</w:t>
        </w:r>
      </w:hyperlink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13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https://vk.com/id3209189</w:t>
        </w:r>
      </w:hyperlink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hyperlink r:id="rId14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https://vksport.vkvideo.ru/video719476427_456239042</w:t>
        </w:r>
      </w:hyperlink>
    </w:p>
    <w:p>
      <w:pPr>
        <w:pStyle w:val="Normal"/>
        <w:shd w:fill="FFFFFF" w:val="clear"/>
        <w:spacing w:lineRule="auto" w:line="240" w:before="280" w:after="280"/>
        <w:ind w:firstLine="708" w:end="0"/>
        <w:jc w:val="both"/>
        <w:textAlignment w:val="baseline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Неотъемлемой частью всех Академиад стали междисциплинарные научные семинары, «научные посиделки» с научно-популярными сообщениями, докладами о работе профорганизаций, важных практических результатах деятельности Профсоюза</w:t>
      </w:r>
      <w:r>
        <w:rPr>
          <w:rFonts w:eastAsia="Times New Roman" w:cs="Times New Roman" w:ascii="Times New Roman" w:hAnsi="Times New Roman"/>
          <w:sz w:val="28"/>
          <w:szCs w:val="28"/>
          <w:shd w:fill="FFFFFF" w:val="clear"/>
          <w:lang w:eastAsia="ru-RU"/>
        </w:rPr>
        <w:t xml:space="preserve"> и острым социальным вопросам.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Стоит отметить, что количество докладчиков растёт с каждым годом.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Рабочие и организационные вопросы спортивной комиссии:</w:t>
      </w:r>
    </w:p>
    <w:p>
      <w:pPr>
        <w:pStyle w:val="Normal"/>
        <w:spacing w:before="0" w:after="0"/>
        <w:ind w:firstLine="426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Ряды комиссии пополнил председатель спортивной секции ИЯФ А.С. Соколов.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2. Для дистанционного решения рабочих и организационных вопросов, информирования участников Академиад (размещение протоколов, положений, фото/видео соревнований), взаимодействия членов Оргкомитетов, активно работали чаты в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Telegram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и страница соревнований в группе Вконтакте.</w:t>
      </w:r>
    </w:p>
    <w:p>
      <w:pPr>
        <w:pStyle w:val="Normal"/>
        <w:spacing w:before="0" w:after="0"/>
        <w:ind w:firstLine="426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3. Проведено 10 заседаний в чате комиссии в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Telegram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посвященных: </w:t>
      </w:r>
    </w:p>
    <w:p>
      <w:pPr>
        <w:pStyle w:val="Normal"/>
        <w:spacing w:before="0" w:after="0"/>
        <w:ind w:start="708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унифицирования в едином стиле и утверждению положений 4 академиад, </w:t>
      </w:r>
    </w:p>
    <w:p>
      <w:pPr>
        <w:pStyle w:val="Normal"/>
        <w:spacing w:before="0" w:after="0"/>
        <w:ind w:firstLine="708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общей смете, включающей средства спонсора и оргвзносы, а также сметы только из средств ЦС Профсоюза работников РАН на каждую из Академиад, </w:t>
      </w:r>
    </w:p>
    <w:p>
      <w:pPr>
        <w:pStyle w:val="Normal"/>
        <w:spacing w:before="0" w:after="0"/>
        <w:ind w:firstLine="708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распределению выделенных средств, </w:t>
      </w:r>
    </w:p>
    <w:p>
      <w:pPr>
        <w:pStyle w:val="Normal"/>
        <w:spacing w:before="0" w:after="0"/>
        <w:ind w:firstLine="708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созданию рабочей группы по решению спорных вопросов по запросу участников. </w:t>
      </w:r>
    </w:p>
    <w:p>
      <w:pPr>
        <w:pStyle w:val="Normal"/>
        <w:spacing w:before="0" w:after="0"/>
        <w:ind w:firstLine="708" w:end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взаимодействие с оргкомитетами Академиад.</w:t>
      </w:r>
    </w:p>
    <w:p>
      <w:pPr>
        <w:pStyle w:val="Normal"/>
        <w:spacing w:before="0" w:after="0"/>
        <w:ind w:firstLine="708" w:end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общим и рабочим вопросам.</w:t>
      </w:r>
    </w:p>
    <w:p>
      <w:pPr>
        <w:pStyle w:val="Normal"/>
        <w:shd w:fill="FFFFFF" w:val="clear"/>
        <w:spacing w:lineRule="auto" w:line="240" w:before="0" w:after="0"/>
        <w:ind w:firstLine="426" w:end="0"/>
        <w:jc w:val="both"/>
        <w:textAlignment w:val="baseline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 Члены спортивной комиссии исправно представляли интересы Профсоюза работников среди научной спортивной общественности, </w:t>
      </w:r>
      <w:r>
        <w:rPr>
          <w:rFonts w:eastAsia="Times New Roman" w:cs="Times New Roman" w:ascii="Times New Roman" w:hAnsi="Times New Roman"/>
          <w:bCs/>
          <w:sz w:val="28"/>
          <w:szCs w:val="28"/>
          <w:shd w:fill="FFFFFF" w:val="clear"/>
          <w:lang w:eastAsia="ru-RU"/>
        </w:rPr>
        <w:t xml:space="preserve">популяризировали деятельность Профсоюза,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участвовали на разных этапах в кампании по увеличению финансирования науки. Своей деятельностью вносили весомый вклад в объединение спортивного сообщества, повышения узнаваемости и престижа Профсоюза, рост профсоюзного членства.</w:t>
      </w:r>
    </w:p>
    <w:p>
      <w:pPr>
        <w:pStyle w:val="Style20"/>
        <w:shd w:fill="FFFFFF" w:val="clear"/>
        <w:spacing w:before="0" w:after="0"/>
        <w:ind w:firstLine="426" w:end="0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spacing w:lineRule="auto" w:line="240"/>
        <w:jc w:val="end"/>
        <w:rPr/>
      </w:pPr>
      <w:r>
        <w:rPr>
          <w:rFonts w:cs="Times New Roman" w:ascii="Times New Roman" w:hAnsi="Times New Roman"/>
          <w:i/>
          <w:iCs/>
          <w:sz w:val="28"/>
          <w:szCs w:val="28"/>
        </w:rPr>
        <w:t>Председатель Спортивной комиссии ЦС Профсоюза работников РАН</w:t>
        <w:br/>
        <w:t>О.Г. Иванов</w:t>
      </w:r>
    </w:p>
    <w:sectPr>
      <w:footerReference w:type="default" r:id="rId21"/>
      <w:footerReference w:type="first" r:id="rId22"/>
      <w:type w:val="nextPage"/>
      <w:pgSz w:w="11906" w:h="16838"/>
      <w:pgMar w:left="1701" w:right="850" w:gutter="0" w:header="0" w:top="567" w:footer="0" w:bottom="709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43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  <w:b/>
      </w:rPr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1647" w:hanging="360"/>
      </w:p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427" w:hanging="360"/>
      </w:pPr>
      <w:rPr>
        <w:b w:val="false"/>
        <w:i w:val="false"/>
        <w:spacing w:val="0"/>
        <w:w w:val="100"/>
        <w:lang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566" w:hanging="140"/>
      </w:pPr>
      <w:rPr>
        <w:rFonts w:ascii="Times New Roman" w:hAnsi="Times New Roman" w:cs="Times New Roman" w:hint="default"/>
        <w:spacing w:val="0"/>
        <w:w w:val="100"/>
        <w:lang w:bidi="ar-SA"/>
      </w:rPr>
    </w:lvl>
    <w:lvl w:ilvl="2">
      <w:start w:val="0"/>
      <w:numFmt w:val="bullet"/>
      <w:lvlText w:val="•"/>
      <w:lvlJc w:val="start"/>
      <w:pPr>
        <w:tabs>
          <w:tab w:val="num" w:pos="0"/>
        </w:tabs>
        <w:ind w:start="1600" w:hanging="140"/>
      </w:pPr>
      <w:rPr>
        <w:rFonts w:ascii="Liberation Serif" w:hAnsi="Liberation Serif" w:cs="Liberation Serif" w:hint="default"/>
        <w:lang w:bidi="ar-SA"/>
      </w:rPr>
    </w:lvl>
    <w:lvl w:ilvl="3">
      <w:start w:val="0"/>
      <w:numFmt w:val="bullet"/>
      <w:lvlText w:val="•"/>
      <w:lvlJc w:val="start"/>
      <w:pPr>
        <w:tabs>
          <w:tab w:val="num" w:pos="0"/>
        </w:tabs>
        <w:ind w:start="2640" w:hanging="140"/>
      </w:pPr>
      <w:rPr>
        <w:rFonts w:ascii="Liberation Serif" w:hAnsi="Liberation Serif" w:cs="Liberation Serif" w:hint="default"/>
        <w:lang w:bidi="ar-SA"/>
      </w:rPr>
    </w:lvl>
    <w:lvl w:ilvl="4">
      <w:start w:val="0"/>
      <w:numFmt w:val="bullet"/>
      <w:lvlText w:val="•"/>
      <w:lvlJc w:val="start"/>
      <w:pPr>
        <w:tabs>
          <w:tab w:val="num" w:pos="0"/>
        </w:tabs>
        <w:ind w:start="3681" w:hanging="140"/>
      </w:pPr>
      <w:rPr>
        <w:rFonts w:ascii="Liberation Serif" w:hAnsi="Liberation Serif" w:cs="Liberation Serif" w:hint="default"/>
        <w:lang w:bidi="ar-SA"/>
      </w:rPr>
    </w:lvl>
    <w:lvl w:ilvl="5">
      <w:start w:val="0"/>
      <w:numFmt w:val="bullet"/>
      <w:lvlText w:val="•"/>
      <w:lvlJc w:val="start"/>
      <w:pPr>
        <w:tabs>
          <w:tab w:val="num" w:pos="0"/>
        </w:tabs>
        <w:ind w:start="4721" w:hanging="140"/>
      </w:pPr>
      <w:rPr>
        <w:rFonts w:ascii="Liberation Serif" w:hAnsi="Liberation Serif" w:cs="Liberation Serif" w:hint="default"/>
        <w:lang w:bidi="ar-SA"/>
      </w:rPr>
    </w:lvl>
    <w:lvl w:ilvl="6">
      <w:start w:val="0"/>
      <w:numFmt w:val="bullet"/>
      <w:lvlText w:val="•"/>
      <w:lvlJc w:val="start"/>
      <w:pPr>
        <w:tabs>
          <w:tab w:val="num" w:pos="0"/>
        </w:tabs>
        <w:ind w:start="5761" w:hanging="140"/>
      </w:pPr>
      <w:rPr>
        <w:rFonts w:ascii="Liberation Serif" w:hAnsi="Liberation Serif" w:cs="Liberation Serif" w:hint="default"/>
        <w:lang w:bidi="ar-SA"/>
      </w:rPr>
    </w:lvl>
    <w:lvl w:ilvl="7">
      <w:start w:val="0"/>
      <w:numFmt w:val="bullet"/>
      <w:lvlText w:val="•"/>
      <w:lvlJc w:val="start"/>
      <w:pPr>
        <w:tabs>
          <w:tab w:val="num" w:pos="0"/>
        </w:tabs>
        <w:ind w:start="6802" w:hanging="140"/>
      </w:pPr>
      <w:rPr>
        <w:rFonts w:ascii="Liberation Serif" w:hAnsi="Liberation Serif" w:cs="Liberation Serif" w:hint="default"/>
        <w:lang w:bidi="ar-SA"/>
      </w:rPr>
    </w:lvl>
    <w:lvl w:ilvl="8">
      <w:start w:val="0"/>
      <w:numFmt w:val="bullet"/>
      <w:lvlText w:val="•"/>
      <w:lvlJc w:val="start"/>
      <w:pPr>
        <w:tabs>
          <w:tab w:val="num" w:pos="0"/>
        </w:tabs>
        <w:ind w:start="7842" w:hanging="140"/>
      </w:pPr>
      <w:rPr>
        <w:rFonts w:ascii="Liberation Serif" w:hAnsi="Liberation Serif" w:cs="Liberation Serif" w:hint="default"/>
        <w:lang w:bidi="ar-SA"/>
      </w:rPr>
    </w:lvl>
  </w:abstractNum>
  <w:abstractNum w:abstractNumId="13">
    <w:lvl w:ilvl="0">
      <w:start w:val="1"/>
      <w:numFmt w:val="upperRoman"/>
      <w:lvlText w:val="%1."/>
      <w:lvlJc w:val="start"/>
      <w:pPr>
        <w:tabs>
          <w:tab w:val="num" w:pos="0"/>
        </w:tabs>
        <w:ind w:start="2138" w:hanging="720"/>
      </w:pPr>
      <w:rPr/>
    </w:lvl>
  </w:abstractNum>
  <w:abstractNum w:abstractNumId="1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ru-RU" w:eastAsia="zh-CN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Wingdings" w:hAnsi="Wingdings" w:cs="Wingdings"/>
      <w:b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ascii="Calibri" w:hAnsi="Calibri" w:cs="Calibri"/>
      <w:sz w:val="22"/>
    </w:rPr>
  </w:style>
  <w:style w:type="character" w:styleId="WW8Num4z0">
    <w:name w:val="WW8Num4z0"/>
    <w:qFormat/>
    <w:rPr>
      <w:rFonts w:ascii="Calibri" w:hAnsi="Calibri" w:cs="Calibri"/>
      <w:sz w:val="22"/>
    </w:rPr>
  </w:style>
  <w:style w:type="character" w:styleId="WW8Num5z0">
    <w:name w:val="WW8Num5z0"/>
    <w:qFormat/>
    <w:rPr>
      <w:rFonts w:ascii="Calibri" w:hAnsi="Calibri" w:cs="Calibri"/>
      <w:sz w:val="22"/>
    </w:rPr>
  </w:style>
  <w:style w:type="character" w:styleId="WW8Num6z0">
    <w:name w:val="WW8Num6z0"/>
    <w:qFormat/>
    <w:rPr>
      <w:sz w:val="24"/>
      <w:szCs w:val="24"/>
    </w:rPr>
  </w:style>
  <w:style w:type="character" w:styleId="WW8Num7z0">
    <w:name w:val="WW8Num7z0"/>
    <w:qFormat/>
    <w:rPr>
      <w:rFonts w:cs="Times New Roman"/>
      <w:b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cs="Calibri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alibri" w:hAnsi="Calibri" w:cs="Calibri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1z0">
    <w:name w:val="WW8Num21z0"/>
    <w:qFormat/>
    <w:rPr>
      <w:b w:val="false"/>
      <w:i w:val="false"/>
      <w:spacing w:val="0"/>
      <w:w w:val="100"/>
      <w:lang w:bidi="ar-SA"/>
    </w:rPr>
  </w:style>
  <w:style w:type="character" w:styleId="WW8Num21z1">
    <w:name w:val="WW8Num21z1"/>
    <w:qFormat/>
    <w:rPr>
      <w:rFonts w:ascii="Times New Roman" w:hAnsi="Times New Roman" w:eastAsia="Times New Roman" w:cs="Times New Roman"/>
      <w:spacing w:val="0"/>
      <w:w w:val="100"/>
      <w:lang w:bidi="ar-SA"/>
    </w:rPr>
  </w:style>
  <w:style w:type="character" w:styleId="WW8Num21z2">
    <w:name w:val="WW8Num21z2"/>
    <w:qFormat/>
    <w:rPr>
      <w:lang w:bidi="ar-SA"/>
    </w:rPr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cs="Times New Roman"/>
    </w:rPr>
  </w:style>
  <w:style w:type="character" w:styleId="WW8Num27z1">
    <w:name w:val="WW8Num27z1"/>
    <w:qFormat/>
    <w:rPr>
      <w:rFonts w:cs="Times New Roman"/>
    </w:rPr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>
      <w:b w:val="false"/>
      <w:bCs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yle15">
    <w:name w:val="Заголовок Знак"/>
    <w:qFormat/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fontstyle01">
    <w:name w:val="fontstyle01"/>
    <w:qFormat/>
    <w:rPr>
      <w:rFonts w:ascii="TimesNewRomanPSMT;Times New Roman" w:hAnsi="TimesNewRomanPSMT;Times New Roman" w:cs="TimesNewRomanPSMT;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31">
    <w:name w:val="fontstyle31"/>
    <w:qFormat/>
    <w:rPr>
      <w:rFonts w:ascii="TimesNewRomanPSMT;Times New Roman" w:hAnsi="TimesNewRomanPSMT;Times New Roman" w:cs="Times New Roman"/>
      <w:color w:val="000000"/>
      <w:sz w:val="24"/>
      <w:szCs w:val="24"/>
    </w:rPr>
  </w:style>
  <w:style w:type="character" w:styleId="2">
    <w:name w:val="Основной текст (2)_"/>
    <w:qFormat/>
    <w:rPr>
      <w:rFonts w:ascii="Times New Roman" w:hAnsi="Times New Roman" w:eastAsia="Times New Roman" w:cs="Times New Roman"/>
      <w:color w:val="1E1C1F"/>
    </w:rPr>
  </w:style>
  <w:style w:type="character" w:styleId="Strong">
    <w:name w:val="Strong"/>
    <w:qFormat/>
    <w:rPr>
      <w:rFonts w:cs="Times New Roman"/>
      <w:b/>
    </w:rPr>
  </w:style>
  <w:style w:type="character" w:styleId="Style18">
    <w:name w:val="Основной текст_"/>
    <w:qFormat/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Heading">
    <w:name w:val="Heading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ind w:firstLine="360" w:start="0" w:end="0"/>
      <w:contextualSpacing/>
    </w:pPr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9">
    <w:name w:val="Абзац списка"/>
    <w:basedOn w:val="Normal"/>
    <w:qFormat/>
    <w:pPr>
      <w:spacing w:lineRule="auto" w:line="240" w:before="0" w:after="0"/>
      <w:ind w:firstLine="360" w:start="720" w:end="0"/>
      <w:contextualSpacing/>
    </w:pPr>
    <w:rPr>
      <w:rFonts w:ascii="Times New Roman" w:hAnsi="Times New Roman" w:eastAsia="Times New Roman" w:cs="Calibri"/>
      <w:sz w:val="28"/>
    </w:rPr>
  </w:style>
  <w:style w:type="paragraph" w:styleId="msonormalmrcssattr">
    <w:name w:val="msonormal_mr_css_attr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>
    <w:name w:val="Основной текст (2)"/>
    <w:basedOn w:val="Normal"/>
    <w:qFormat/>
    <w:pPr>
      <w:widowControl w:val="false"/>
      <w:spacing w:lineRule="auto" w:line="293" w:before="0" w:after="260"/>
      <w:ind w:hanging="0" w:start="780" w:end="0"/>
    </w:pPr>
    <w:rPr>
      <w:rFonts w:ascii="Times New Roman" w:hAnsi="Times New Roman" w:eastAsia="Times New Roman" w:cs="Times New Roman"/>
      <w:color w:val="1E1C1F"/>
      <w:sz w:val="20"/>
      <w:szCs w:val="20"/>
    </w:rPr>
  </w:style>
  <w:style w:type="paragraph" w:styleId="Style20">
    <w:name w:val="Обычный (Интернет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">
    <w:name w:val="Основной текст1"/>
    <w:basedOn w:val="Normal"/>
    <w:qFormat/>
    <w:pPr>
      <w:widowControl w:val="false"/>
      <w:spacing w:lineRule="auto" w:line="286" w:before="0" w:after="360"/>
    </w:pPr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hyperlink" Target="https://profras.ru/bajkalskie-hroniki/" TargetMode="External"/><Relationship Id="rId4" Type="http://schemas.openxmlformats.org/officeDocument/2006/relationships/hyperlink" Target="https://profras.ru/bajkalskie-virazhi/" TargetMode="External"/><Relationship Id="rId5" Type="http://schemas.openxmlformats.org/officeDocument/2006/relationships/hyperlink" Target="https://profras.ru/akademiady/" TargetMode="External"/><Relationship Id="rId6" Type="http://schemas.openxmlformats.org/officeDocument/2006/relationships/hyperlink" Target="https://vk.com/@krasnoyarsk.science-krasnoyarskii-etap-vnes-vklad-v-razvitie-akademiady-ran-po-g" TargetMode="External"/><Relationship Id="rId7" Type="http://schemas.openxmlformats.org/officeDocument/2006/relationships/hyperlink" Target="http://ufaras.ru/?p=28188" TargetMode="External"/><Relationship Id="rId8" Type="http://schemas.openxmlformats.org/officeDocument/2006/relationships/hyperlink" Target="https://stooprran.ru/news/2025/ii_acad_tennis_2025.html" TargetMode="External"/><Relationship Id="rId9" Type="http://schemas.openxmlformats.org/officeDocument/2006/relationships/hyperlink" Target="https://profras.ru/akademiady/" TargetMode="External"/><Relationship Id="rId10" Type="http://schemas.openxmlformats.org/officeDocument/2006/relationships/hyperlink" Target="https://profras.ru/hroniki-volejbolnoj-akademiady/" TargetMode="External"/><Relationship Id="rId11" Type="http://schemas.openxmlformats.org/officeDocument/2006/relationships/hyperlink" Target="https://profras.ru/akademiady/" TargetMode="External"/><Relationship Id="rId12" Type="http://schemas.openxmlformats.org/officeDocument/2006/relationships/hyperlink" Target="https://www.ibch.ru/press/news/tu/5402" TargetMode="External"/><Relationship Id="rId13" Type="http://schemas.openxmlformats.org/officeDocument/2006/relationships/hyperlink" Target="https://vk.com/id3209189" TargetMode="External"/><Relationship Id="rId14" Type="http://schemas.openxmlformats.org/officeDocument/2006/relationships/hyperlink" Target="https://vksport.vkvideo.ru/video719476427_456239042" TargetMode="External"/><Relationship Id="rId21" Type="http://schemas.openxmlformats.org/officeDocument/2006/relationships/footer" Target="footer1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2026-04-08T14:29:00Z</dcterms:created>
  <dc:creator>123</dc:creator>
  <dc:description/>
  <cp:keywords/>
  <dc:language>ru-RU</dc:language>
  <cp:lastModifiedBy>Пользователь</cp:lastModifiedBy>
  <cp:lastPrinted>2024-02-19T11:13:00Z</cp:lastPrinted>
  <dcterms:modified xsi:type="dcterms:W3CDTF">2026-04-08T15:50:00Z</dcterms:modified>
  <cp:revision>5</cp:revision>
  <dc:subject/>
  <dc:title/>
</cp:coreProperties>
</file>